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7FA" w:rsidRPr="007F60C2" w:rsidRDefault="00272A45" w:rsidP="00272A45">
      <w:pPr>
        <w:spacing w:after="60"/>
        <w:rPr>
          <w:rFonts w:ascii="Calibri" w:hAnsi="Calibri" w:cs="Calibri"/>
        </w:rPr>
      </w:pPr>
      <w:bookmarkStart w:id="0" w:name="_GoBack"/>
      <w:bookmarkEnd w:id="0"/>
      <w:r w:rsidRPr="007F60C2">
        <w:rPr>
          <w:rFonts w:ascii="Calibri" w:hAnsi="Calibri" w:cs="Calibri"/>
          <w:b/>
          <w:bCs/>
          <w:color w:val="1F4E79"/>
          <w:sz w:val="36"/>
          <w:szCs w:val="36"/>
        </w:rPr>
        <w:t>Title of the paper</w:t>
      </w:r>
    </w:p>
    <w:p w:rsidR="006A37FA" w:rsidRDefault="00ED7FF1">
      <w:pPr>
        <w:pBdr>
          <w:bottom w:val="single" w:sz="10" w:space="6" w:color="1F4E79"/>
        </w:pBdr>
        <w:spacing w:after="200"/>
        <w:jc w:val="center"/>
      </w:pPr>
      <w:r>
        <w:rPr>
          <w:sz w:val="4"/>
          <w:szCs w:val="4"/>
        </w:rPr>
        <w:t xml:space="preserve">  </w:t>
      </w:r>
    </w:p>
    <w:p w:rsidR="006A37FA" w:rsidRPr="007F60C2" w:rsidRDefault="00ED7FF1" w:rsidP="00242B75">
      <w:pPr>
        <w:rPr>
          <w:rFonts w:ascii="Calibri" w:hAnsi="Calibri" w:cs="Calibri"/>
        </w:rPr>
      </w:pPr>
      <w:r w:rsidRPr="007F60C2">
        <w:rPr>
          <w:rFonts w:ascii="Calibri" w:hAnsi="Calibri" w:cs="Calibri"/>
          <w:b/>
          <w:bCs/>
        </w:rPr>
        <w:t>First Author</w:t>
      </w:r>
    </w:p>
    <w:p w:rsidR="00272A45" w:rsidRDefault="00ED7FF1" w:rsidP="00242B75">
      <w:pPr>
        <w:rPr>
          <w:iCs/>
          <w:sz w:val="20"/>
          <w:szCs w:val="20"/>
        </w:rPr>
      </w:pPr>
      <w:r w:rsidRPr="00272A45">
        <w:rPr>
          <w:iCs/>
          <w:sz w:val="20"/>
          <w:szCs w:val="20"/>
        </w:rPr>
        <w:t>Institutional affiliation, City, Country</w:t>
      </w:r>
    </w:p>
    <w:p w:rsidR="006A37FA" w:rsidRPr="00272A45" w:rsidRDefault="00272A45" w:rsidP="00242B75">
      <w:r>
        <w:rPr>
          <w:iCs/>
          <w:sz w:val="20"/>
          <w:szCs w:val="20"/>
        </w:rPr>
        <w:t>Email</w:t>
      </w:r>
      <w:r w:rsidR="00EE5C1A">
        <w:rPr>
          <w:iCs/>
          <w:sz w:val="20"/>
          <w:szCs w:val="20"/>
        </w:rPr>
        <w:t>:</w:t>
      </w:r>
      <w:r w:rsidR="00ED7FF1" w:rsidRPr="00272A45">
        <w:rPr>
          <w:iCs/>
          <w:sz w:val="20"/>
          <w:szCs w:val="20"/>
        </w:rPr>
        <w:t xml:space="preserve">   </w:t>
      </w:r>
    </w:p>
    <w:p w:rsidR="00272A45" w:rsidRDefault="00272A45" w:rsidP="00242B75">
      <w:pPr>
        <w:rPr>
          <w:b/>
          <w:bCs/>
        </w:rPr>
      </w:pPr>
    </w:p>
    <w:p w:rsidR="00272A45" w:rsidRPr="007F60C2" w:rsidRDefault="00272A45" w:rsidP="00242B75">
      <w:pPr>
        <w:rPr>
          <w:rFonts w:ascii="Calibri" w:hAnsi="Calibri" w:cs="Calibri"/>
          <w:b/>
          <w:bCs/>
        </w:rPr>
      </w:pPr>
      <w:r w:rsidRPr="007F60C2">
        <w:rPr>
          <w:rFonts w:ascii="Calibri" w:hAnsi="Calibri" w:cs="Calibri"/>
          <w:b/>
          <w:bCs/>
        </w:rPr>
        <w:t>Second Author</w:t>
      </w:r>
    </w:p>
    <w:p w:rsidR="00272A45" w:rsidRDefault="00272A45" w:rsidP="00242B75">
      <w:pPr>
        <w:rPr>
          <w:iCs/>
          <w:sz w:val="20"/>
          <w:szCs w:val="20"/>
        </w:rPr>
      </w:pPr>
      <w:r w:rsidRPr="00272A45">
        <w:rPr>
          <w:iCs/>
          <w:sz w:val="20"/>
          <w:szCs w:val="20"/>
        </w:rPr>
        <w:t>Institutional affiliation, City, Country</w:t>
      </w:r>
    </w:p>
    <w:p w:rsidR="00272A45" w:rsidRPr="00272A45" w:rsidRDefault="00272A45" w:rsidP="00242B75">
      <w:pPr>
        <w:rPr>
          <w:iCs/>
          <w:sz w:val="20"/>
          <w:szCs w:val="20"/>
        </w:rPr>
      </w:pPr>
      <w:r>
        <w:rPr>
          <w:iCs/>
          <w:sz w:val="20"/>
          <w:szCs w:val="20"/>
        </w:rPr>
        <w:t>Email:</w:t>
      </w:r>
      <w:r w:rsidRPr="00272A45">
        <w:rPr>
          <w:iCs/>
          <w:sz w:val="20"/>
          <w:szCs w:val="20"/>
        </w:rPr>
        <w:t xml:space="preserve"> </w:t>
      </w:r>
    </w:p>
    <w:p w:rsidR="00272A45" w:rsidRDefault="00272A45" w:rsidP="00242B75">
      <w:pPr>
        <w:rPr>
          <w:i/>
          <w:iCs/>
          <w:color w:val="595959"/>
          <w:sz w:val="20"/>
          <w:szCs w:val="20"/>
        </w:rPr>
      </w:pPr>
    </w:p>
    <w:p w:rsidR="006A37FA" w:rsidRPr="00272A45" w:rsidRDefault="00ED7FF1" w:rsidP="00242B75">
      <w:r w:rsidRPr="00515777">
        <w:rPr>
          <w:b/>
          <w:bCs/>
          <w:color w:val="1F4E79"/>
          <w:sz w:val="20"/>
          <w:szCs w:val="20"/>
        </w:rPr>
        <w:t>Correspondence:</w:t>
      </w:r>
      <w:r w:rsidRPr="00272A45">
        <w:rPr>
          <w:iCs/>
          <w:sz w:val="20"/>
          <w:szCs w:val="20"/>
        </w:rPr>
        <w:t xml:space="preserve"> </w:t>
      </w:r>
      <w:r w:rsidRPr="00515777">
        <w:rPr>
          <w:iCs/>
          <w:sz w:val="20"/>
          <w:szCs w:val="20"/>
        </w:rPr>
        <w:t>name.surname@institution.edu</w:t>
      </w:r>
    </w:p>
    <w:p w:rsidR="006A37FA" w:rsidRPr="00DE3C63" w:rsidRDefault="00ED7FF1" w:rsidP="00DE3C63">
      <w:pPr>
        <w:spacing w:after="120"/>
        <w:jc w:val="right"/>
        <w:rPr>
          <w:color w:val="1F4E79"/>
          <w:sz w:val="20"/>
          <w:szCs w:val="20"/>
        </w:rPr>
      </w:pPr>
      <w:r w:rsidRPr="00DE3C63">
        <w:rPr>
          <w:color w:val="1F4E79"/>
          <w:sz w:val="20"/>
          <w:szCs w:val="20"/>
        </w:rPr>
        <w:t>DOI: 10.2478/seeur-2019-0000</w:t>
      </w:r>
    </w:p>
    <w:tbl>
      <w:tblPr>
        <w:tblW w:w="5000" w:type="pct"/>
        <w:tblBorders>
          <w:top w:val="none" w:sz="0" w:space="0" w:color="FFFFFF"/>
          <w:left w:val="single" w:sz="24" w:space="0" w:color="1F4E79"/>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40"/>
      </w:tblGrid>
      <w:tr w:rsidR="006A37FA">
        <w:tc>
          <w:tcPr>
            <w:tcW w:w="0" w:type="auto"/>
            <w:shd w:val="clear" w:color="auto" w:fill="EAF1F8"/>
            <w:tcMar>
              <w:top w:w="160" w:type="dxa"/>
              <w:left w:w="220" w:type="dxa"/>
              <w:bottom w:w="160" w:type="dxa"/>
              <w:right w:w="220" w:type="dxa"/>
            </w:tcMar>
          </w:tcPr>
          <w:p w:rsidR="006A37FA" w:rsidRPr="00515777" w:rsidRDefault="007F60C2" w:rsidP="00DE3C63">
            <w:pPr>
              <w:spacing w:after="100"/>
              <w:jc w:val="both"/>
              <w:rPr>
                <w:sz w:val="20"/>
                <w:szCs w:val="20"/>
              </w:rPr>
            </w:pPr>
            <w:r w:rsidRPr="007F60C2">
              <w:rPr>
                <w:rFonts w:ascii="Calibri" w:hAnsi="Calibri" w:cs="Calibri"/>
                <w:b/>
                <w:bCs/>
                <w:color w:val="1F4E79"/>
                <w:sz w:val="22"/>
                <w:szCs w:val="22"/>
              </w:rPr>
              <w:t>Abstract</w:t>
            </w:r>
            <w:r w:rsidR="00DE3C63">
              <w:rPr>
                <w:rFonts w:ascii="Calibri" w:hAnsi="Calibri" w:cs="Calibri"/>
                <w:b/>
                <w:bCs/>
                <w:color w:val="1F4E79"/>
                <w:sz w:val="22"/>
                <w:szCs w:val="22"/>
              </w:rPr>
              <w:t xml:space="preserve">: </w:t>
            </w:r>
            <w:r w:rsidR="00ED7FF1" w:rsidRPr="00515777">
              <w:rPr>
                <w:iCs/>
                <w:sz w:val="20"/>
                <w:szCs w:val="20"/>
              </w:rPr>
              <w:t xml:space="preserve">The abstract should be </w:t>
            </w:r>
            <w:r w:rsidR="006B429B" w:rsidRPr="00515777">
              <w:rPr>
                <w:iCs/>
                <w:sz w:val="20"/>
                <w:szCs w:val="20"/>
              </w:rPr>
              <w:t>15</w:t>
            </w:r>
            <w:r w:rsidR="00ED7FF1" w:rsidRPr="00515777">
              <w:rPr>
                <w:iCs/>
                <w:sz w:val="20"/>
                <w:szCs w:val="20"/>
              </w:rPr>
              <w:t>0–</w:t>
            </w:r>
            <w:r w:rsidR="006B429B" w:rsidRPr="00515777">
              <w:rPr>
                <w:iCs/>
                <w:sz w:val="20"/>
                <w:szCs w:val="20"/>
              </w:rPr>
              <w:t>2</w:t>
            </w:r>
            <w:r w:rsidR="00ED7FF1" w:rsidRPr="00515777">
              <w:rPr>
                <w:iCs/>
                <w:sz w:val="20"/>
                <w:szCs w:val="20"/>
              </w:rPr>
              <w:t xml:space="preserve">00 words, </w:t>
            </w:r>
            <w:r w:rsidR="000165D0" w:rsidRPr="00515777">
              <w:rPr>
                <w:iCs/>
                <w:sz w:val="20"/>
                <w:szCs w:val="20"/>
              </w:rPr>
              <w:t>summarizing</w:t>
            </w:r>
            <w:r w:rsidR="00ED7FF1" w:rsidRPr="00515777">
              <w:rPr>
                <w:iCs/>
                <w:sz w:val="20"/>
                <w:szCs w:val="20"/>
              </w:rPr>
              <w:t xml:space="preserve"> the purpose, methodology, key findings, and implications of the study. Replace this placeholder text with your own abstract before submission.</w:t>
            </w:r>
          </w:p>
          <w:p w:rsidR="006A37FA" w:rsidRDefault="00ED7FF1">
            <w:r w:rsidRPr="007F60C2">
              <w:rPr>
                <w:rFonts w:ascii="Calibri" w:hAnsi="Calibri" w:cs="Calibri"/>
                <w:b/>
                <w:bCs/>
                <w:color w:val="1F4E79"/>
                <w:sz w:val="22"/>
                <w:szCs w:val="22"/>
              </w:rPr>
              <w:t>Keywords:</w:t>
            </w:r>
            <w:r>
              <w:rPr>
                <w:b/>
                <w:bCs/>
              </w:rPr>
              <w:t xml:space="preserve"> </w:t>
            </w:r>
            <w:r w:rsidR="00930253" w:rsidRPr="00515777">
              <w:rPr>
                <w:iCs/>
                <w:sz w:val="20"/>
                <w:szCs w:val="20"/>
              </w:rPr>
              <w:t xml:space="preserve">Five </w:t>
            </w:r>
            <w:r w:rsidR="005277C0" w:rsidRPr="00515777">
              <w:rPr>
                <w:iCs/>
                <w:sz w:val="20"/>
                <w:szCs w:val="20"/>
              </w:rPr>
              <w:t>k</w:t>
            </w:r>
            <w:r w:rsidR="00930253" w:rsidRPr="00515777">
              <w:rPr>
                <w:iCs/>
                <w:sz w:val="20"/>
                <w:szCs w:val="20"/>
              </w:rPr>
              <w:t>eywords</w:t>
            </w:r>
          </w:p>
        </w:tc>
      </w:tr>
    </w:tbl>
    <w:p w:rsidR="006A37FA" w:rsidRDefault="006A37FA" w:rsidP="00DE3C63">
      <w:pPr>
        <w:pStyle w:val="ListParagraph"/>
      </w:pPr>
    </w:p>
    <w:p w:rsidR="00DE3C63" w:rsidRDefault="00DE3C63" w:rsidP="00DE3C63">
      <w:pPr>
        <w:pStyle w:val="Heading1"/>
        <w:pBdr>
          <w:bottom w:val="single" w:sz="8" w:space="4" w:color="1F4E79"/>
        </w:pBdr>
        <w:spacing w:before="0" w:after="0"/>
        <w:rPr>
          <w:rFonts w:asciiTheme="minorHAnsi" w:hAnsiTheme="minorHAnsi" w:cstheme="minorHAnsi"/>
        </w:rPr>
      </w:pPr>
    </w:p>
    <w:p w:rsidR="006A37FA" w:rsidRPr="00515777" w:rsidRDefault="00ED7FF1" w:rsidP="00DE3C63">
      <w:pPr>
        <w:pStyle w:val="Heading1"/>
        <w:pBdr>
          <w:bottom w:val="single" w:sz="8" w:space="4" w:color="1F4E79"/>
        </w:pBdr>
        <w:spacing w:before="0" w:after="0"/>
        <w:rPr>
          <w:rFonts w:asciiTheme="minorHAnsi" w:hAnsiTheme="minorHAnsi" w:cstheme="minorHAnsi"/>
        </w:rPr>
      </w:pPr>
      <w:r w:rsidRPr="00515777">
        <w:rPr>
          <w:rFonts w:asciiTheme="minorHAnsi" w:hAnsiTheme="minorHAnsi" w:cstheme="minorHAnsi"/>
        </w:rPr>
        <w:t>Introduction</w:t>
      </w:r>
    </w:p>
    <w:p w:rsidR="006A37FA" w:rsidRDefault="00ED7FF1" w:rsidP="00930253">
      <w:pPr>
        <w:spacing w:after="120"/>
        <w:jc w:val="both"/>
      </w:pPr>
      <w:r>
        <w:t>Manuscripts should not exceed 8,000 words. (This is placeholder sample text.) In order to develop a deeper understanding of the subject matter, it is important to explain, at the beginning, the basic concepts and definitions of the key terms used in the study. Replace this paragraph with the introduction to your own research, outlining the problem, its relevance, and the aim of the paper.</w:t>
      </w:r>
    </w:p>
    <w:p w:rsidR="006A37FA" w:rsidRDefault="00ED7FF1" w:rsidP="00930253">
      <w:pPr>
        <w:spacing w:after="120"/>
        <w:jc w:val="both"/>
      </w:pPr>
      <w:proofErr w:type="spellStart"/>
      <w:r>
        <w:t>Bizumic</w:t>
      </w:r>
      <w:proofErr w:type="spellEnd"/>
      <w:r>
        <w:t xml:space="preserve"> (2005) states that early theorists linked the concept to broader group-</w:t>
      </w:r>
      <w:proofErr w:type="spellStart"/>
      <w:r>
        <w:t>centred</w:t>
      </w:r>
      <w:proofErr w:type="spellEnd"/>
      <w:r>
        <w:t xml:space="preserve"> worldviews, while later scholarship refined its meaning within the social sciences. Use this section to review the relevant literature and situate your contribution within it.</w:t>
      </w:r>
    </w:p>
    <w:p w:rsidR="00476C8B" w:rsidRDefault="00476C8B" w:rsidP="00DE3C63">
      <w:pPr>
        <w:pStyle w:val="ListParagraph"/>
      </w:pPr>
    </w:p>
    <w:p w:rsidR="00242B75" w:rsidRPr="00515777" w:rsidRDefault="00242B75" w:rsidP="00DE3C63">
      <w:pPr>
        <w:pStyle w:val="Heading1"/>
        <w:pBdr>
          <w:bottom w:val="single" w:sz="8" w:space="4" w:color="1F4E79"/>
        </w:pBdr>
        <w:spacing w:before="0" w:after="0"/>
        <w:rPr>
          <w:rFonts w:asciiTheme="minorHAnsi" w:hAnsiTheme="minorHAnsi" w:cstheme="minorHAnsi"/>
        </w:rPr>
      </w:pPr>
      <w:r w:rsidRPr="00515777">
        <w:rPr>
          <w:rFonts w:asciiTheme="minorHAnsi" w:hAnsiTheme="minorHAnsi" w:cstheme="minorHAnsi"/>
        </w:rPr>
        <w:t>Literature Review</w:t>
      </w:r>
    </w:p>
    <w:p w:rsidR="007A6EEC" w:rsidRDefault="007A6EEC" w:rsidP="00242B75">
      <w:pPr>
        <w:pStyle w:val="Heading2"/>
        <w:spacing w:before="0" w:after="120"/>
        <w:rPr>
          <w:b w:val="0"/>
          <w:bCs w:val="0"/>
          <w:i w:val="0"/>
          <w:iCs w:val="0"/>
          <w:color w:val="auto"/>
        </w:rPr>
      </w:pPr>
      <w:r w:rsidRPr="007A6EEC">
        <w:rPr>
          <w:b w:val="0"/>
          <w:bCs w:val="0"/>
          <w:i w:val="0"/>
          <w:iCs w:val="0"/>
          <w:color w:val="auto"/>
        </w:rPr>
        <w:t>A literature review should include: a critical synthesis of the key existing studies/sources on the topic, showing what is already known, where there are disagreements or gaps in the research, and how your paper positions itself or contributes relative to that prior work — not just a sequential list of descriptions of each source.</w:t>
      </w:r>
    </w:p>
    <w:p w:rsidR="007A6EEC" w:rsidRDefault="007A6EEC" w:rsidP="007A6EEC">
      <w:pPr>
        <w:pStyle w:val="ListParagraph"/>
      </w:pPr>
    </w:p>
    <w:p w:rsidR="006A37FA" w:rsidRDefault="00ED7FF1" w:rsidP="00242B75">
      <w:pPr>
        <w:pStyle w:val="Heading2"/>
        <w:spacing w:before="0" w:after="120"/>
      </w:pPr>
      <w:r w:rsidRPr="007A6EEC">
        <w:t>Subsection</w:t>
      </w:r>
      <w:r>
        <w:t xml:space="preserve"> </w:t>
      </w:r>
      <w:r w:rsidR="00272A45">
        <w:t>t</w:t>
      </w:r>
      <w:r>
        <w:t>itle</w:t>
      </w:r>
    </w:p>
    <w:p w:rsidR="006A37FA" w:rsidRDefault="00ED7FF1" w:rsidP="00930253">
      <w:pPr>
        <w:spacing w:after="120"/>
        <w:jc w:val="both"/>
      </w:pPr>
      <w:r>
        <w:t xml:space="preserve">Use numbered subsections to </w:t>
      </w:r>
      <w:r w:rsidR="000165D0">
        <w:t>organize</w:t>
      </w:r>
      <w:r>
        <w:t xml:space="preserve"> longer sections of the manuscript. This placeholder text may be replaced with your own content. Keep formatting consistent: Times New Roman, 12 </w:t>
      </w:r>
      <w:proofErr w:type="spellStart"/>
      <w:r>
        <w:t>pt</w:t>
      </w:r>
      <w:proofErr w:type="spellEnd"/>
      <w:r>
        <w:t>, single line spacing, and justified alignment throughout the body text.</w:t>
      </w:r>
    </w:p>
    <w:p w:rsidR="00476C8B" w:rsidRDefault="00476C8B" w:rsidP="00DE3C63">
      <w:pPr>
        <w:pStyle w:val="ListParagraph"/>
      </w:pPr>
    </w:p>
    <w:p w:rsidR="006A37FA" w:rsidRDefault="00ED7FF1" w:rsidP="00930253">
      <w:pPr>
        <w:pStyle w:val="Heading2"/>
        <w:spacing w:before="0" w:after="120"/>
      </w:pPr>
      <w:r>
        <w:t xml:space="preserve">Subsection </w:t>
      </w:r>
      <w:r w:rsidR="00272A45">
        <w:t>t</w:t>
      </w:r>
      <w:r>
        <w:t>itle</w:t>
      </w:r>
    </w:p>
    <w:p w:rsidR="006A37FA" w:rsidRDefault="00ED7FF1" w:rsidP="00930253">
      <w:pPr>
        <w:spacing w:after="120"/>
        <w:jc w:val="both"/>
      </w:pPr>
      <w:r>
        <w:t xml:space="preserve">The details of a data set, model, or classification scheme can be </w:t>
      </w:r>
      <w:r w:rsidR="000165D0">
        <w:t>summarized</w:t>
      </w:r>
      <w:r>
        <w:t xml:space="preserve"> in a table, as shown below. Tables should be numbered and referenced in the text (e.g., see Table 1).</w:t>
      </w:r>
    </w:p>
    <w:p w:rsidR="00272A45" w:rsidRDefault="00272A45" w:rsidP="00930253">
      <w:pPr>
        <w:spacing w:after="120"/>
        <w:jc w:val="both"/>
      </w:pPr>
    </w:p>
    <w:p w:rsidR="006A37FA" w:rsidRPr="00272A45" w:rsidRDefault="00ED7FF1" w:rsidP="00930253">
      <w:pPr>
        <w:spacing w:after="120"/>
      </w:pPr>
      <w:r w:rsidRPr="00272A45">
        <w:rPr>
          <w:b/>
          <w:bCs/>
          <w:color w:val="1F4E79"/>
          <w:sz w:val="20"/>
          <w:szCs w:val="20"/>
        </w:rPr>
        <w:t>Table 1.</w:t>
      </w:r>
      <w:r w:rsidRPr="00272A45">
        <w:rPr>
          <w:iCs/>
          <w:sz w:val="20"/>
          <w:szCs w:val="20"/>
        </w:rPr>
        <w:t xml:space="preserve"> Descriptive caption for the table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267"/>
        <w:gridCol w:w="2267"/>
        <w:gridCol w:w="2268"/>
        <w:gridCol w:w="2268"/>
      </w:tblGrid>
      <w:tr w:rsidR="006A37FA">
        <w:tc>
          <w:tcPr>
            <w:tcW w:w="0" w:type="auto"/>
            <w:tcBorders>
              <w:top w:val="none" w:sz="0" w:space="0" w:color="FFFFFF"/>
              <w:left w:val="none" w:sz="0" w:space="0" w:color="FFFFFF"/>
              <w:bottom w:val="single" w:sz="6" w:space="0" w:color="1F4E79"/>
              <w:right w:val="none" w:sz="0" w:space="0" w:color="FFFFFF"/>
            </w:tcBorders>
            <w:shd w:val="clear" w:color="auto" w:fill="1F4E79"/>
            <w:tcMar>
              <w:top w:w="80" w:type="dxa"/>
              <w:left w:w="100" w:type="dxa"/>
              <w:bottom w:w="80" w:type="dxa"/>
              <w:right w:w="100" w:type="dxa"/>
            </w:tcMar>
            <w:vAlign w:val="center"/>
          </w:tcPr>
          <w:p w:rsidR="006A37FA" w:rsidRDefault="00ED7FF1" w:rsidP="00476C8B">
            <w:pPr>
              <w:jc w:val="center"/>
            </w:pPr>
            <w:r>
              <w:rPr>
                <w:b/>
                <w:bCs/>
                <w:color w:val="FFFFFF"/>
                <w:sz w:val="20"/>
                <w:szCs w:val="20"/>
              </w:rPr>
              <w:t>Heading 1</w:t>
            </w:r>
          </w:p>
        </w:tc>
        <w:tc>
          <w:tcPr>
            <w:tcW w:w="0" w:type="auto"/>
            <w:tcBorders>
              <w:top w:val="none" w:sz="0" w:space="0" w:color="FFFFFF"/>
              <w:left w:val="none" w:sz="0" w:space="0" w:color="FFFFFF"/>
              <w:bottom w:val="single" w:sz="6" w:space="0" w:color="1F4E79"/>
              <w:right w:val="none" w:sz="0" w:space="0" w:color="FFFFFF"/>
            </w:tcBorders>
            <w:shd w:val="clear" w:color="auto" w:fill="1F4E79"/>
            <w:tcMar>
              <w:top w:w="80" w:type="dxa"/>
              <w:left w:w="100" w:type="dxa"/>
              <w:bottom w:w="80" w:type="dxa"/>
              <w:right w:w="100" w:type="dxa"/>
            </w:tcMar>
            <w:vAlign w:val="center"/>
          </w:tcPr>
          <w:p w:rsidR="006A37FA" w:rsidRDefault="00ED7FF1" w:rsidP="00476C8B">
            <w:pPr>
              <w:jc w:val="center"/>
            </w:pPr>
            <w:r>
              <w:rPr>
                <w:b/>
                <w:bCs/>
                <w:color w:val="FFFFFF"/>
                <w:sz w:val="20"/>
                <w:szCs w:val="20"/>
              </w:rPr>
              <w:t>Heading 2</w:t>
            </w:r>
          </w:p>
        </w:tc>
        <w:tc>
          <w:tcPr>
            <w:tcW w:w="0" w:type="auto"/>
            <w:tcBorders>
              <w:top w:val="none" w:sz="0" w:space="0" w:color="FFFFFF"/>
              <w:left w:val="none" w:sz="0" w:space="0" w:color="FFFFFF"/>
              <w:bottom w:val="single" w:sz="6" w:space="0" w:color="1F4E79"/>
              <w:right w:val="none" w:sz="0" w:space="0" w:color="FFFFFF"/>
            </w:tcBorders>
            <w:shd w:val="clear" w:color="auto" w:fill="1F4E79"/>
            <w:tcMar>
              <w:top w:w="80" w:type="dxa"/>
              <w:left w:w="100" w:type="dxa"/>
              <w:bottom w:w="80" w:type="dxa"/>
              <w:right w:w="100" w:type="dxa"/>
            </w:tcMar>
            <w:vAlign w:val="center"/>
          </w:tcPr>
          <w:p w:rsidR="006A37FA" w:rsidRDefault="00ED7FF1" w:rsidP="00476C8B">
            <w:pPr>
              <w:jc w:val="center"/>
            </w:pPr>
            <w:r>
              <w:rPr>
                <w:b/>
                <w:bCs/>
                <w:color w:val="FFFFFF"/>
                <w:sz w:val="20"/>
                <w:szCs w:val="20"/>
              </w:rPr>
              <w:t>Heading 3</w:t>
            </w:r>
          </w:p>
        </w:tc>
        <w:tc>
          <w:tcPr>
            <w:tcW w:w="0" w:type="auto"/>
            <w:tcBorders>
              <w:top w:val="none" w:sz="0" w:space="0" w:color="FFFFFF"/>
              <w:left w:val="none" w:sz="0" w:space="0" w:color="FFFFFF"/>
              <w:bottom w:val="single" w:sz="6" w:space="0" w:color="1F4E79"/>
              <w:right w:val="none" w:sz="0" w:space="0" w:color="FFFFFF"/>
            </w:tcBorders>
            <w:shd w:val="clear" w:color="auto" w:fill="1F4E79"/>
            <w:tcMar>
              <w:top w:w="80" w:type="dxa"/>
              <w:left w:w="100" w:type="dxa"/>
              <w:bottom w:w="80" w:type="dxa"/>
              <w:right w:w="100" w:type="dxa"/>
            </w:tcMar>
            <w:vAlign w:val="center"/>
          </w:tcPr>
          <w:p w:rsidR="006A37FA" w:rsidRDefault="00ED7FF1" w:rsidP="00476C8B">
            <w:pPr>
              <w:jc w:val="center"/>
            </w:pPr>
            <w:r>
              <w:rPr>
                <w:b/>
                <w:bCs/>
                <w:color w:val="FFFFFF"/>
                <w:sz w:val="20"/>
                <w:szCs w:val="20"/>
              </w:rPr>
              <w:t>Heading 4</w:t>
            </w:r>
          </w:p>
        </w:tc>
      </w:tr>
      <w:tr w:rsidR="006A37FA">
        <w:tc>
          <w:tcPr>
            <w:tcW w:w="0" w:type="auto"/>
            <w:tcBorders>
              <w:top w:val="none" w:sz="0" w:space="0" w:color="FFFFFF"/>
              <w:left w:val="none" w:sz="0" w:space="0" w:color="FFFFFF"/>
              <w:bottom w:val="single" w:sz="4" w:space="0" w:color="BFD4E6"/>
              <w:right w:val="none" w:sz="0" w:space="0" w:color="FFFFFF"/>
            </w:tcBorders>
            <w:tcMar>
              <w:top w:w="80" w:type="dxa"/>
              <w:left w:w="100" w:type="dxa"/>
              <w:bottom w:w="80" w:type="dxa"/>
              <w:right w:w="100" w:type="dxa"/>
            </w:tcMar>
          </w:tcPr>
          <w:p w:rsidR="006A37FA" w:rsidRDefault="00ED7FF1" w:rsidP="00476C8B">
            <w:pPr>
              <w:jc w:val="center"/>
            </w:pPr>
            <w:r>
              <w:rPr>
                <w:sz w:val="20"/>
                <w:szCs w:val="20"/>
              </w:rPr>
              <w:t>Row 1</w:t>
            </w:r>
          </w:p>
        </w:tc>
        <w:tc>
          <w:tcPr>
            <w:tcW w:w="0" w:type="auto"/>
            <w:tcBorders>
              <w:top w:val="none" w:sz="0" w:space="0" w:color="FFFFFF"/>
              <w:left w:val="none" w:sz="0" w:space="0" w:color="FFFFFF"/>
              <w:bottom w:val="single" w:sz="4" w:space="0" w:color="BFD4E6"/>
              <w:right w:val="none" w:sz="0" w:space="0" w:color="FFFFFF"/>
            </w:tcBorders>
            <w:tcMar>
              <w:top w:w="80" w:type="dxa"/>
              <w:left w:w="100" w:type="dxa"/>
              <w:bottom w:w="80" w:type="dxa"/>
              <w:right w:w="100" w:type="dxa"/>
            </w:tcMar>
          </w:tcPr>
          <w:p w:rsidR="006A37FA" w:rsidRDefault="00ED7FF1" w:rsidP="00476C8B">
            <w:pPr>
              <w:jc w:val="center"/>
            </w:pPr>
            <w:r>
              <w:rPr>
                <w:sz w:val="20"/>
                <w:szCs w:val="20"/>
              </w:rPr>
              <w:t xml:space="preserve"> </w:t>
            </w:r>
          </w:p>
        </w:tc>
        <w:tc>
          <w:tcPr>
            <w:tcW w:w="0" w:type="auto"/>
            <w:tcBorders>
              <w:top w:val="none" w:sz="0" w:space="0" w:color="FFFFFF"/>
              <w:left w:val="none" w:sz="0" w:space="0" w:color="FFFFFF"/>
              <w:bottom w:val="single" w:sz="4" w:space="0" w:color="BFD4E6"/>
              <w:right w:val="none" w:sz="0" w:space="0" w:color="FFFFFF"/>
            </w:tcBorders>
            <w:tcMar>
              <w:top w:w="80" w:type="dxa"/>
              <w:left w:w="100" w:type="dxa"/>
              <w:bottom w:w="80" w:type="dxa"/>
              <w:right w:w="100" w:type="dxa"/>
            </w:tcMar>
          </w:tcPr>
          <w:p w:rsidR="006A37FA" w:rsidRDefault="00ED7FF1" w:rsidP="00476C8B">
            <w:pPr>
              <w:jc w:val="center"/>
            </w:pPr>
            <w:r>
              <w:rPr>
                <w:sz w:val="20"/>
                <w:szCs w:val="20"/>
              </w:rPr>
              <w:t xml:space="preserve"> </w:t>
            </w:r>
          </w:p>
        </w:tc>
        <w:tc>
          <w:tcPr>
            <w:tcW w:w="0" w:type="auto"/>
            <w:tcBorders>
              <w:top w:val="none" w:sz="0" w:space="0" w:color="FFFFFF"/>
              <w:left w:val="none" w:sz="0" w:space="0" w:color="FFFFFF"/>
              <w:bottom w:val="single" w:sz="4" w:space="0" w:color="BFD4E6"/>
              <w:right w:val="none" w:sz="0" w:space="0" w:color="FFFFFF"/>
            </w:tcBorders>
            <w:tcMar>
              <w:top w:w="80" w:type="dxa"/>
              <w:left w:w="100" w:type="dxa"/>
              <w:bottom w:w="80" w:type="dxa"/>
              <w:right w:w="100" w:type="dxa"/>
            </w:tcMar>
          </w:tcPr>
          <w:p w:rsidR="006A37FA" w:rsidRDefault="00ED7FF1" w:rsidP="00476C8B">
            <w:pPr>
              <w:jc w:val="center"/>
            </w:pPr>
            <w:r>
              <w:rPr>
                <w:sz w:val="20"/>
                <w:szCs w:val="20"/>
              </w:rPr>
              <w:t xml:space="preserve"> </w:t>
            </w:r>
          </w:p>
        </w:tc>
      </w:tr>
      <w:tr w:rsidR="006A37FA">
        <w:tc>
          <w:tcPr>
            <w:tcW w:w="0" w:type="auto"/>
            <w:tcBorders>
              <w:top w:val="none" w:sz="0" w:space="0" w:color="FFFFFF"/>
              <w:left w:val="none" w:sz="0" w:space="0" w:color="FFFFFF"/>
              <w:bottom w:val="single" w:sz="4" w:space="0" w:color="BFD4E6"/>
              <w:right w:val="none" w:sz="0" w:space="0" w:color="FFFFFF"/>
            </w:tcBorders>
            <w:shd w:val="clear" w:color="auto" w:fill="F4F8FC"/>
            <w:tcMar>
              <w:top w:w="80" w:type="dxa"/>
              <w:left w:w="100" w:type="dxa"/>
              <w:bottom w:w="80" w:type="dxa"/>
              <w:right w:w="100" w:type="dxa"/>
            </w:tcMar>
          </w:tcPr>
          <w:p w:rsidR="006A37FA" w:rsidRDefault="00ED7FF1" w:rsidP="00476C8B">
            <w:pPr>
              <w:jc w:val="center"/>
            </w:pPr>
            <w:r>
              <w:rPr>
                <w:sz w:val="20"/>
                <w:szCs w:val="20"/>
              </w:rPr>
              <w:t>Row 2</w:t>
            </w:r>
          </w:p>
        </w:tc>
        <w:tc>
          <w:tcPr>
            <w:tcW w:w="0" w:type="auto"/>
            <w:tcBorders>
              <w:top w:val="none" w:sz="0" w:space="0" w:color="FFFFFF"/>
              <w:left w:val="none" w:sz="0" w:space="0" w:color="FFFFFF"/>
              <w:bottom w:val="single" w:sz="4" w:space="0" w:color="BFD4E6"/>
              <w:right w:val="none" w:sz="0" w:space="0" w:color="FFFFFF"/>
            </w:tcBorders>
            <w:shd w:val="clear" w:color="auto" w:fill="F4F8FC"/>
            <w:tcMar>
              <w:top w:w="80" w:type="dxa"/>
              <w:left w:w="100" w:type="dxa"/>
              <w:bottom w:w="80" w:type="dxa"/>
              <w:right w:w="100" w:type="dxa"/>
            </w:tcMar>
          </w:tcPr>
          <w:p w:rsidR="006A37FA" w:rsidRDefault="00ED7FF1" w:rsidP="00476C8B">
            <w:pPr>
              <w:jc w:val="center"/>
            </w:pPr>
            <w:r>
              <w:rPr>
                <w:sz w:val="20"/>
                <w:szCs w:val="20"/>
              </w:rPr>
              <w:t xml:space="preserve"> </w:t>
            </w:r>
          </w:p>
        </w:tc>
        <w:tc>
          <w:tcPr>
            <w:tcW w:w="0" w:type="auto"/>
            <w:tcBorders>
              <w:top w:val="none" w:sz="0" w:space="0" w:color="FFFFFF"/>
              <w:left w:val="none" w:sz="0" w:space="0" w:color="FFFFFF"/>
              <w:bottom w:val="single" w:sz="4" w:space="0" w:color="BFD4E6"/>
              <w:right w:val="none" w:sz="0" w:space="0" w:color="FFFFFF"/>
            </w:tcBorders>
            <w:shd w:val="clear" w:color="auto" w:fill="F4F8FC"/>
            <w:tcMar>
              <w:top w:w="80" w:type="dxa"/>
              <w:left w:w="100" w:type="dxa"/>
              <w:bottom w:w="80" w:type="dxa"/>
              <w:right w:w="100" w:type="dxa"/>
            </w:tcMar>
          </w:tcPr>
          <w:p w:rsidR="006A37FA" w:rsidRDefault="00ED7FF1" w:rsidP="00476C8B">
            <w:pPr>
              <w:jc w:val="center"/>
            </w:pPr>
            <w:r>
              <w:rPr>
                <w:sz w:val="20"/>
                <w:szCs w:val="20"/>
              </w:rPr>
              <w:t xml:space="preserve"> </w:t>
            </w:r>
          </w:p>
        </w:tc>
        <w:tc>
          <w:tcPr>
            <w:tcW w:w="0" w:type="auto"/>
            <w:tcBorders>
              <w:top w:val="none" w:sz="0" w:space="0" w:color="FFFFFF"/>
              <w:left w:val="none" w:sz="0" w:space="0" w:color="FFFFFF"/>
              <w:bottom w:val="single" w:sz="4" w:space="0" w:color="BFD4E6"/>
              <w:right w:val="none" w:sz="0" w:space="0" w:color="FFFFFF"/>
            </w:tcBorders>
            <w:shd w:val="clear" w:color="auto" w:fill="F4F8FC"/>
            <w:tcMar>
              <w:top w:w="80" w:type="dxa"/>
              <w:left w:w="100" w:type="dxa"/>
              <w:bottom w:w="80" w:type="dxa"/>
              <w:right w:w="100" w:type="dxa"/>
            </w:tcMar>
          </w:tcPr>
          <w:p w:rsidR="006A37FA" w:rsidRDefault="00ED7FF1" w:rsidP="00476C8B">
            <w:pPr>
              <w:jc w:val="center"/>
            </w:pPr>
            <w:r>
              <w:rPr>
                <w:sz w:val="20"/>
                <w:szCs w:val="20"/>
              </w:rPr>
              <w:t xml:space="preserve"> </w:t>
            </w:r>
          </w:p>
        </w:tc>
      </w:tr>
      <w:tr w:rsidR="006A37FA">
        <w:tc>
          <w:tcPr>
            <w:tcW w:w="0" w:type="auto"/>
            <w:tcBorders>
              <w:top w:val="none" w:sz="0" w:space="0" w:color="FFFFFF"/>
              <w:left w:val="none" w:sz="0" w:space="0" w:color="FFFFFF"/>
              <w:bottom w:val="single" w:sz="4" w:space="0" w:color="BFD4E6"/>
              <w:right w:val="none" w:sz="0" w:space="0" w:color="FFFFFF"/>
            </w:tcBorders>
            <w:tcMar>
              <w:top w:w="80" w:type="dxa"/>
              <w:left w:w="100" w:type="dxa"/>
              <w:bottom w:w="80" w:type="dxa"/>
              <w:right w:w="100" w:type="dxa"/>
            </w:tcMar>
          </w:tcPr>
          <w:p w:rsidR="006A37FA" w:rsidRDefault="00ED7FF1" w:rsidP="00476C8B">
            <w:pPr>
              <w:jc w:val="center"/>
            </w:pPr>
            <w:r>
              <w:rPr>
                <w:sz w:val="20"/>
                <w:szCs w:val="20"/>
              </w:rPr>
              <w:t>Row 3</w:t>
            </w:r>
          </w:p>
        </w:tc>
        <w:tc>
          <w:tcPr>
            <w:tcW w:w="0" w:type="auto"/>
            <w:tcBorders>
              <w:top w:val="none" w:sz="0" w:space="0" w:color="FFFFFF"/>
              <w:left w:val="none" w:sz="0" w:space="0" w:color="FFFFFF"/>
              <w:bottom w:val="single" w:sz="4" w:space="0" w:color="BFD4E6"/>
              <w:right w:val="none" w:sz="0" w:space="0" w:color="FFFFFF"/>
            </w:tcBorders>
            <w:tcMar>
              <w:top w:w="80" w:type="dxa"/>
              <w:left w:w="100" w:type="dxa"/>
              <w:bottom w:w="80" w:type="dxa"/>
              <w:right w:w="100" w:type="dxa"/>
            </w:tcMar>
          </w:tcPr>
          <w:p w:rsidR="006A37FA" w:rsidRDefault="00ED7FF1" w:rsidP="00476C8B">
            <w:pPr>
              <w:jc w:val="center"/>
            </w:pPr>
            <w:r>
              <w:rPr>
                <w:sz w:val="20"/>
                <w:szCs w:val="20"/>
              </w:rPr>
              <w:t xml:space="preserve"> </w:t>
            </w:r>
          </w:p>
        </w:tc>
        <w:tc>
          <w:tcPr>
            <w:tcW w:w="0" w:type="auto"/>
            <w:tcBorders>
              <w:top w:val="none" w:sz="0" w:space="0" w:color="FFFFFF"/>
              <w:left w:val="none" w:sz="0" w:space="0" w:color="FFFFFF"/>
              <w:bottom w:val="single" w:sz="4" w:space="0" w:color="BFD4E6"/>
              <w:right w:val="none" w:sz="0" w:space="0" w:color="FFFFFF"/>
            </w:tcBorders>
            <w:tcMar>
              <w:top w:w="80" w:type="dxa"/>
              <w:left w:w="100" w:type="dxa"/>
              <w:bottom w:w="80" w:type="dxa"/>
              <w:right w:w="100" w:type="dxa"/>
            </w:tcMar>
          </w:tcPr>
          <w:p w:rsidR="006A37FA" w:rsidRDefault="00ED7FF1" w:rsidP="00476C8B">
            <w:pPr>
              <w:jc w:val="center"/>
            </w:pPr>
            <w:r>
              <w:rPr>
                <w:sz w:val="20"/>
                <w:szCs w:val="20"/>
              </w:rPr>
              <w:t xml:space="preserve"> </w:t>
            </w:r>
          </w:p>
        </w:tc>
        <w:tc>
          <w:tcPr>
            <w:tcW w:w="0" w:type="auto"/>
            <w:tcBorders>
              <w:top w:val="none" w:sz="0" w:space="0" w:color="FFFFFF"/>
              <w:left w:val="none" w:sz="0" w:space="0" w:color="FFFFFF"/>
              <w:bottom w:val="single" w:sz="4" w:space="0" w:color="BFD4E6"/>
              <w:right w:val="none" w:sz="0" w:space="0" w:color="FFFFFF"/>
            </w:tcBorders>
            <w:tcMar>
              <w:top w:w="80" w:type="dxa"/>
              <w:left w:w="100" w:type="dxa"/>
              <w:bottom w:w="80" w:type="dxa"/>
              <w:right w:w="100" w:type="dxa"/>
            </w:tcMar>
          </w:tcPr>
          <w:p w:rsidR="006A37FA" w:rsidRDefault="00ED7FF1" w:rsidP="00476C8B">
            <w:pPr>
              <w:jc w:val="center"/>
            </w:pPr>
            <w:r>
              <w:rPr>
                <w:sz w:val="20"/>
                <w:szCs w:val="20"/>
              </w:rPr>
              <w:t xml:space="preserve"> </w:t>
            </w:r>
          </w:p>
        </w:tc>
      </w:tr>
    </w:tbl>
    <w:p w:rsidR="00272A45" w:rsidRDefault="00272A45" w:rsidP="00476C8B">
      <w:pPr>
        <w:rPr>
          <w:iCs/>
          <w:sz w:val="20"/>
          <w:szCs w:val="20"/>
        </w:rPr>
      </w:pPr>
      <w:r w:rsidRPr="00272A45">
        <w:rPr>
          <w:b/>
          <w:bCs/>
          <w:color w:val="1F4E79"/>
          <w:sz w:val="20"/>
          <w:szCs w:val="20"/>
        </w:rPr>
        <w:t>Note:</w:t>
      </w:r>
      <w:r w:rsidRPr="00272A45">
        <w:rPr>
          <w:iCs/>
          <w:sz w:val="20"/>
          <w:szCs w:val="20"/>
        </w:rPr>
        <w:t xml:space="preserve"> </w:t>
      </w:r>
      <w:r>
        <w:rPr>
          <w:iCs/>
          <w:sz w:val="20"/>
          <w:szCs w:val="20"/>
        </w:rPr>
        <w:t>Text</w:t>
      </w:r>
    </w:p>
    <w:p w:rsidR="00272A45" w:rsidRDefault="00272A45" w:rsidP="00476C8B">
      <w:pPr>
        <w:rPr>
          <w:iCs/>
          <w:sz w:val="20"/>
          <w:szCs w:val="20"/>
        </w:rPr>
      </w:pPr>
      <w:r w:rsidRPr="00272A45">
        <w:rPr>
          <w:b/>
          <w:bCs/>
          <w:color w:val="1F4E79"/>
          <w:sz w:val="20"/>
          <w:szCs w:val="20"/>
        </w:rPr>
        <w:t xml:space="preserve">Source: </w:t>
      </w:r>
      <w:r>
        <w:rPr>
          <w:iCs/>
          <w:sz w:val="20"/>
          <w:szCs w:val="20"/>
        </w:rPr>
        <w:t>Surname (Year)</w:t>
      </w:r>
    </w:p>
    <w:p w:rsidR="00272A45" w:rsidRDefault="00272A45" w:rsidP="00930253">
      <w:pPr>
        <w:spacing w:after="120"/>
      </w:pPr>
    </w:p>
    <w:p w:rsidR="006A37FA" w:rsidRDefault="00ED7FF1" w:rsidP="00930253">
      <w:pPr>
        <w:spacing w:after="120"/>
      </w:pPr>
      <w:r>
        <w:t xml:space="preserve">A </w:t>
      </w:r>
      <w:r w:rsidR="00695E82">
        <w:t>short-numbered</w:t>
      </w:r>
      <w:r>
        <w:t xml:space="preserve"> list may be presented as follows:</w:t>
      </w:r>
    </w:p>
    <w:p w:rsidR="006A37FA" w:rsidRDefault="00ED7FF1" w:rsidP="00930253">
      <w:pPr>
        <w:pStyle w:val="ListParagraph"/>
        <w:numPr>
          <w:ilvl w:val="0"/>
          <w:numId w:val="2"/>
        </w:numPr>
        <w:spacing w:after="120"/>
      </w:pPr>
      <w:r>
        <w:t>First item;</w:t>
      </w:r>
    </w:p>
    <w:p w:rsidR="006A37FA" w:rsidRDefault="00ED7FF1" w:rsidP="00930253">
      <w:pPr>
        <w:pStyle w:val="ListParagraph"/>
        <w:numPr>
          <w:ilvl w:val="0"/>
          <w:numId w:val="2"/>
        </w:numPr>
        <w:spacing w:after="120"/>
      </w:pPr>
      <w:r>
        <w:t>Second item.</w:t>
      </w:r>
    </w:p>
    <w:p w:rsidR="006A37FA" w:rsidRDefault="00ED7FF1" w:rsidP="00930253">
      <w:pPr>
        <w:spacing w:after="120"/>
        <w:jc w:val="both"/>
      </w:pPr>
      <w:r>
        <w:t>Images and graphs should be centered, numbered sequentially, and captioned directly below, as shown in Figure 1.</w:t>
      </w:r>
    </w:p>
    <w:p w:rsidR="006A37FA" w:rsidRDefault="00ED7FF1" w:rsidP="00930253">
      <w:pPr>
        <w:spacing w:after="120"/>
        <w:jc w:val="center"/>
      </w:pPr>
      <w:r>
        <w:rPr>
          <w:noProof/>
        </w:rPr>
        <w:drawing>
          <wp:inline distT="0" distB="0" distL="0" distR="0">
            <wp:extent cx="3619500" cy="217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619500" cy="2171700"/>
                    </a:xfrm>
                    <a:prstGeom prst="rect">
                      <a:avLst/>
                    </a:prstGeom>
                  </pic:spPr>
                </pic:pic>
              </a:graphicData>
            </a:graphic>
          </wp:inline>
        </w:drawing>
      </w:r>
    </w:p>
    <w:p w:rsidR="006A37FA" w:rsidRPr="00272A45" w:rsidRDefault="00ED7FF1" w:rsidP="00476C8B">
      <w:pPr>
        <w:rPr>
          <w:iCs/>
          <w:sz w:val="20"/>
          <w:szCs w:val="20"/>
        </w:rPr>
      </w:pPr>
      <w:r w:rsidRPr="006B429B">
        <w:rPr>
          <w:b/>
          <w:bCs/>
          <w:color w:val="1F4E79"/>
          <w:sz w:val="20"/>
          <w:szCs w:val="20"/>
        </w:rPr>
        <w:t>Figure 1.</w:t>
      </w:r>
      <w:r w:rsidRPr="006B429B">
        <w:rPr>
          <w:iCs/>
          <w:color w:val="002060"/>
          <w:sz w:val="20"/>
          <w:szCs w:val="20"/>
        </w:rPr>
        <w:t xml:space="preserve"> </w:t>
      </w:r>
      <w:r w:rsidRPr="00272A45">
        <w:rPr>
          <w:iCs/>
          <w:sz w:val="20"/>
          <w:szCs w:val="20"/>
        </w:rPr>
        <w:t>Descriptive caption for the figure, placed centered below the image</w:t>
      </w:r>
    </w:p>
    <w:p w:rsidR="00272A45" w:rsidRDefault="00272A45" w:rsidP="00476C8B">
      <w:pPr>
        <w:rPr>
          <w:iCs/>
          <w:sz w:val="20"/>
          <w:szCs w:val="20"/>
        </w:rPr>
      </w:pPr>
      <w:r w:rsidRPr="00272A45">
        <w:rPr>
          <w:b/>
          <w:bCs/>
          <w:color w:val="1F4E79"/>
          <w:sz w:val="20"/>
          <w:szCs w:val="20"/>
        </w:rPr>
        <w:t xml:space="preserve">Source: </w:t>
      </w:r>
      <w:r>
        <w:rPr>
          <w:iCs/>
          <w:sz w:val="20"/>
          <w:szCs w:val="20"/>
        </w:rPr>
        <w:t>Surname (Year)</w:t>
      </w:r>
    </w:p>
    <w:p w:rsidR="00272A45" w:rsidRPr="006B429B" w:rsidRDefault="00272A45" w:rsidP="00930253">
      <w:pPr>
        <w:spacing w:after="120"/>
        <w:rPr>
          <w:sz w:val="20"/>
          <w:szCs w:val="20"/>
        </w:rPr>
      </w:pPr>
    </w:p>
    <w:p w:rsidR="006A37FA" w:rsidRPr="00515777" w:rsidRDefault="00ED7FF1" w:rsidP="00930253">
      <w:pPr>
        <w:pStyle w:val="Heading1"/>
        <w:pBdr>
          <w:bottom w:val="single" w:sz="8" w:space="4" w:color="1F4E79"/>
        </w:pBdr>
        <w:spacing w:before="0" w:after="120"/>
        <w:rPr>
          <w:rFonts w:asciiTheme="minorHAnsi" w:hAnsiTheme="minorHAnsi" w:cstheme="minorHAnsi"/>
        </w:rPr>
      </w:pPr>
      <w:r w:rsidRPr="00515777">
        <w:rPr>
          <w:rFonts w:asciiTheme="minorHAnsi" w:hAnsiTheme="minorHAnsi" w:cstheme="minorHAnsi"/>
        </w:rPr>
        <w:t>Conclusion</w:t>
      </w:r>
    </w:p>
    <w:p w:rsidR="006A37FA" w:rsidRDefault="000165D0" w:rsidP="00930253">
      <w:pPr>
        <w:spacing w:after="120"/>
        <w:jc w:val="both"/>
      </w:pPr>
      <w:r>
        <w:t>Summarize</w:t>
      </w:r>
      <w:r w:rsidR="00ED7FF1">
        <w:t xml:space="preserve"> the main findings of the paper, their theoretical and/or practical implications, the limitations of the study, and suggestions for future research. Replace this placeholder text with your own conclusion.</w:t>
      </w:r>
    </w:p>
    <w:p w:rsidR="006A37FA" w:rsidRDefault="00ED7FF1" w:rsidP="00930253">
      <w:pPr>
        <w:spacing w:after="120"/>
      </w:pPr>
      <w:r>
        <w:br w:type="page"/>
      </w:r>
    </w:p>
    <w:p w:rsidR="006A37FA" w:rsidRPr="00515777" w:rsidRDefault="00ED7FF1" w:rsidP="00930253">
      <w:pPr>
        <w:pStyle w:val="Heading1"/>
        <w:pBdr>
          <w:bottom w:val="single" w:sz="8" w:space="4" w:color="1F4E79"/>
        </w:pBdr>
        <w:spacing w:before="0" w:after="120"/>
        <w:rPr>
          <w:rFonts w:asciiTheme="minorHAnsi" w:hAnsiTheme="minorHAnsi" w:cstheme="minorHAnsi"/>
        </w:rPr>
      </w:pPr>
      <w:r w:rsidRPr="00515777">
        <w:rPr>
          <w:rFonts w:asciiTheme="minorHAnsi" w:hAnsiTheme="minorHAnsi" w:cstheme="minorHAnsi"/>
        </w:rPr>
        <w:lastRenderedPageBreak/>
        <w:t>References</w:t>
      </w:r>
    </w:p>
    <w:p w:rsidR="00695E82" w:rsidRPr="00695E82" w:rsidRDefault="00695E82" w:rsidP="00476C8B">
      <w:pPr>
        <w:spacing w:after="120"/>
        <w:ind w:left="567" w:hanging="567"/>
        <w:jc w:val="both"/>
        <w:rPr>
          <w:sz w:val="20"/>
          <w:szCs w:val="20"/>
        </w:rPr>
      </w:pPr>
      <w:proofErr w:type="spellStart"/>
      <w:r w:rsidRPr="00695E82">
        <w:rPr>
          <w:sz w:val="20"/>
          <w:szCs w:val="20"/>
        </w:rPr>
        <w:t>Bizumic</w:t>
      </w:r>
      <w:proofErr w:type="spellEnd"/>
      <w:r w:rsidRPr="00695E82">
        <w:rPr>
          <w:sz w:val="20"/>
          <w:szCs w:val="20"/>
        </w:rPr>
        <w:t xml:space="preserve">, B. (2015). Ethnocentrism. In R. A. Segal &amp; K. von </w:t>
      </w:r>
      <w:proofErr w:type="spellStart"/>
      <w:r w:rsidRPr="00695E82">
        <w:rPr>
          <w:sz w:val="20"/>
          <w:szCs w:val="20"/>
        </w:rPr>
        <w:t>Stuckrad</w:t>
      </w:r>
      <w:proofErr w:type="spellEnd"/>
      <w:r w:rsidRPr="00695E82">
        <w:rPr>
          <w:sz w:val="20"/>
          <w:szCs w:val="20"/>
        </w:rPr>
        <w:t xml:space="preserve"> (Eds.), </w:t>
      </w:r>
      <w:r w:rsidRPr="00695E82">
        <w:rPr>
          <w:rStyle w:val="Emphasis"/>
          <w:sz w:val="20"/>
          <w:szCs w:val="20"/>
        </w:rPr>
        <w:t>Vocabulary for the study of religion</w:t>
      </w:r>
      <w:r w:rsidRPr="00695E82">
        <w:rPr>
          <w:sz w:val="20"/>
          <w:szCs w:val="20"/>
        </w:rPr>
        <w:t xml:space="preserve"> (Vol. 1, pp. 533–539). Brill Academic Publishers. </w:t>
      </w:r>
    </w:p>
    <w:p w:rsidR="00695E82" w:rsidRPr="00695E82" w:rsidRDefault="00695E82" w:rsidP="00476C8B">
      <w:pPr>
        <w:spacing w:after="120"/>
        <w:ind w:left="567" w:hanging="567"/>
        <w:jc w:val="both"/>
        <w:rPr>
          <w:sz w:val="20"/>
          <w:szCs w:val="20"/>
        </w:rPr>
      </w:pPr>
      <w:proofErr w:type="spellStart"/>
      <w:r w:rsidRPr="00695E82">
        <w:rPr>
          <w:sz w:val="20"/>
          <w:szCs w:val="20"/>
        </w:rPr>
        <w:t>Bizumic</w:t>
      </w:r>
      <w:proofErr w:type="spellEnd"/>
      <w:r w:rsidRPr="00695E82">
        <w:rPr>
          <w:sz w:val="20"/>
          <w:szCs w:val="20"/>
        </w:rPr>
        <w:t xml:space="preserve">, B., &amp; </w:t>
      </w:r>
      <w:proofErr w:type="spellStart"/>
      <w:r w:rsidRPr="00695E82">
        <w:rPr>
          <w:sz w:val="20"/>
          <w:szCs w:val="20"/>
        </w:rPr>
        <w:t>Duckitt</w:t>
      </w:r>
      <w:proofErr w:type="spellEnd"/>
      <w:r w:rsidRPr="00695E82">
        <w:rPr>
          <w:sz w:val="20"/>
          <w:szCs w:val="20"/>
        </w:rPr>
        <w:t xml:space="preserve">, J. (2018). Investigating right wing authoritarianism with a Very Short Authoritarianism Scale. </w:t>
      </w:r>
      <w:r w:rsidRPr="00695E82">
        <w:rPr>
          <w:rStyle w:val="Emphasis"/>
          <w:sz w:val="20"/>
          <w:szCs w:val="20"/>
        </w:rPr>
        <w:t>Journal of Social and Political Psychology</w:t>
      </w:r>
      <w:r w:rsidRPr="00695E82">
        <w:rPr>
          <w:sz w:val="20"/>
          <w:szCs w:val="20"/>
        </w:rPr>
        <w:t xml:space="preserve">, </w:t>
      </w:r>
      <w:r w:rsidRPr="00695E82">
        <w:rPr>
          <w:rStyle w:val="Emphasis"/>
          <w:sz w:val="20"/>
          <w:szCs w:val="20"/>
        </w:rPr>
        <w:t>6</w:t>
      </w:r>
      <w:r w:rsidRPr="00695E82">
        <w:rPr>
          <w:sz w:val="20"/>
          <w:szCs w:val="20"/>
        </w:rPr>
        <w:t xml:space="preserve">(1), 129–150. </w:t>
      </w:r>
      <w:hyperlink r:id="rId8" w:history="1">
        <w:r w:rsidRPr="00695E82">
          <w:rPr>
            <w:rStyle w:val="Hyperlink"/>
            <w:color w:val="auto"/>
            <w:sz w:val="20"/>
            <w:szCs w:val="20"/>
            <w:u w:val="none"/>
          </w:rPr>
          <w:t>https://doi.org/10.5964/jspp.v6i1.835</w:t>
        </w:r>
      </w:hyperlink>
      <w:r w:rsidRPr="00695E82">
        <w:rPr>
          <w:sz w:val="20"/>
          <w:szCs w:val="20"/>
        </w:rPr>
        <w:t xml:space="preserve"> </w:t>
      </w:r>
    </w:p>
    <w:p w:rsidR="00695E82" w:rsidRPr="00695E82" w:rsidRDefault="00695E82" w:rsidP="00476C8B">
      <w:pPr>
        <w:spacing w:after="120"/>
        <w:ind w:left="567" w:hanging="567"/>
        <w:jc w:val="both"/>
        <w:rPr>
          <w:sz w:val="20"/>
          <w:szCs w:val="20"/>
        </w:rPr>
      </w:pPr>
      <w:r w:rsidRPr="00695E82">
        <w:rPr>
          <w:sz w:val="20"/>
          <w:szCs w:val="20"/>
        </w:rPr>
        <w:t xml:space="preserve">Bourdieu, P. (1984). </w:t>
      </w:r>
      <w:r w:rsidRPr="00695E82">
        <w:rPr>
          <w:rStyle w:val="Emphasis"/>
          <w:sz w:val="20"/>
          <w:szCs w:val="20"/>
        </w:rPr>
        <w:t>Distinction: A social critique of the judgement of taste</w:t>
      </w:r>
      <w:r w:rsidRPr="00695E82">
        <w:rPr>
          <w:sz w:val="20"/>
          <w:szCs w:val="20"/>
        </w:rPr>
        <w:t xml:space="preserve">. Routledge. </w:t>
      </w:r>
    </w:p>
    <w:p w:rsidR="00695E82" w:rsidRPr="00695E82" w:rsidRDefault="00695E82" w:rsidP="00476C8B">
      <w:pPr>
        <w:spacing w:after="120"/>
        <w:ind w:left="567" w:hanging="567"/>
        <w:jc w:val="both"/>
        <w:rPr>
          <w:sz w:val="20"/>
          <w:szCs w:val="20"/>
        </w:rPr>
      </w:pPr>
      <w:r w:rsidRPr="00695E82">
        <w:rPr>
          <w:sz w:val="20"/>
          <w:szCs w:val="20"/>
        </w:rPr>
        <w:t xml:space="preserve">Cherry, K. (2023, March 15). </w:t>
      </w:r>
      <w:r w:rsidRPr="00695E82">
        <w:rPr>
          <w:rStyle w:val="Emphasis"/>
          <w:sz w:val="20"/>
          <w:szCs w:val="20"/>
        </w:rPr>
        <w:t>What is ethnocentrism?</w:t>
      </w:r>
      <w:r w:rsidRPr="00695E82">
        <w:rPr>
          <w:sz w:val="20"/>
          <w:szCs w:val="20"/>
        </w:rPr>
        <w:t xml:space="preserve"> </w:t>
      </w:r>
      <w:proofErr w:type="spellStart"/>
      <w:r w:rsidRPr="00695E82">
        <w:rPr>
          <w:sz w:val="20"/>
          <w:szCs w:val="20"/>
        </w:rPr>
        <w:t>Verywell</w:t>
      </w:r>
      <w:proofErr w:type="spellEnd"/>
      <w:r w:rsidRPr="00695E82">
        <w:rPr>
          <w:sz w:val="20"/>
          <w:szCs w:val="20"/>
        </w:rPr>
        <w:t xml:space="preserve"> Mind. </w:t>
      </w:r>
      <w:hyperlink r:id="rId9" w:history="1">
        <w:r w:rsidRPr="00695E82">
          <w:rPr>
            <w:rStyle w:val="Hyperlink"/>
            <w:color w:val="auto"/>
            <w:sz w:val="20"/>
            <w:szCs w:val="20"/>
            <w:u w:val="none"/>
          </w:rPr>
          <w:t>https://www.verywellmind.com/what-is-ethnocentrism</w:t>
        </w:r>
      </w:hyperlink>
      <w:r w:rsidRPr="00695E82">
        <w:rPr>
          <w:sz w:val="20"/>
          <w:szCs w:val="20"/>
        </w:rPr>
        <w:t xml:space="preserve"> </w:t>
      </w:r>
    </w:p>
    <w:p w:rsidR="00695E82" w:rsidRPr="00695E82" w:rsidRDefault="00695E82" w:rsidP="00476C8B">
      <w:pPr>
        <w:spacing w:after="120"/>
        <w:ind w:left="567" w:hanging="567"/>
        <w:jc w:val="both"/>
        <w:rPr>
          <w:sz w:val="20"/>
          <w:szCs w:val="20"/>
        </w:rPr>
      </w:pPr>
      <w:r w:rsidRPr="00695E82">
        <w:rPr>
          <w:sz w:val="20"/>
          <w:szCs w:val="20"/>
        </w:rPr>
        <w:t xml:space="preserve">International Sociological Association. (1998). </w:t>
      </w:r>
      <w:r w:rsidRPr="00695E82">
        <w:rPr>
          <w:rStyle w:val="Emphasis"/>
          <w:sz w:val="20"/>
          <w:szCs w:val="20"/>
        </w:rPr>
        <w:t>ISA — International Sociological Association: Books of the century</w:t>
      </w:r>
      <w:r w:rsidRPr="00695E82">
        <w:rPr>
          <w:sz w:val="20"/>
          <w:szCs w:val="20"/>
        </w:rPr>
        <w:t xml:space="preserve">. </w:t>
      </w:r>
      <w:hyperlink r:id="rId10" w:history="1">
        <w:r w:rsidRPr="00695E82">
          <w:rPr>
            <w:rStyle w:val="Hyperlink"/>
            <w:color w:val="auto"/>
            <w:sz w:val="20"/>
            <w:szCs w:val="20"/>
            <w:u w:val="none"/>
          </w:rPr>
          <w:t>https://www.isa-sociology.org/books/books10.htm</w:t>
        </w:r>
      </w:hyperlink>
      <w:r w:rsidRPr="00695E82">
        <w:rPr>
          <w:sz w:val="20"/>
          <w:szCs w:val="20"/>
        </w:rPr>
        <w:t xml:space="preserve"> </w:t>
      </w:r>
    </w:p>
    <w:p w:rsidR="00695E82" w:rsidRPr="00695E82" w:rsidRDefault="00695E82" w:rsidP="00476C8B">
      <w:pPr>
        <w:spacing w:after="120"/>
        <w:ind w:left="567" w:hanging="567"/>
        <w:jc w:val="both"/>
        <w:rPr>
          <w:sz w:val="20"/>
          <w:szCs w:val="20"/>
        </w:rPr>
      </w:pPr>
      <w:r w:rsidRPr="00695E82">
        <w:rPr>
          <w:sz w:val="20"/>
          <w:szCs w:val="20"/>
        </w:rPr>
        <w:t xml:space="preserve">Segal, R. A., &amp; von </w:t>
      </w:r>
      <w:proofErr w:type="spellStart"/>
      <w:r w:rsidRPr="00695E82">
        <w:rPr>
          <w:sz w:val="20"/>
          <w:szCs w:val="20"/>
        </w:rPr>
        <w:t>Stuckrad</w:t>
      </w:r>
      <w:proofErr w:type="spellEnd"/>
      <w:r w:rsidRPr="00695E82">
        <w:rPr>
          <w:sz w:val="20"/>
          <w:szCs w:val="20"/>
        </w:rPr>
        <w:t xml:space="preserve">, K. (Eds.). (2015). </w:t>
      </w:r>
      <w:r w:rsidRPr="00695E82">
        <w:rPr>
          <w:rStyle w:val="Emphasis"/>
          <w:sz w:val="20"/>
          <w:szCs w:val="20"/>
        </w:rPr>
        <w:t>Vocabulary for the study of religion</w:t>
      </w:r>
      <w:r w:rsidRPr="00695E82">
        <w:rPr>
          <w:sz w:val="20"/>
          <w:szCs w:val="20"/>
        </w:rPr>
        <w:t xml:space="preserve"> (Vol. 1). Brill Academic Publishers. </w:t>
      </w:r>
    </w:p>
    <w:p w:rsidR="00695E82" w:rsidRPr="00695E82" w:rsidRDefault="00695E82" w:rsidP="00476C8B">
      <w:pPr>
        <w:spacing w:after="120"/>
        <w:ind w:left="567" w:hanging="567"/>
        <w:jc w:val="both"/>
        <w:rPr>
          <w:sz w:val="20"/>
          <w:szCs w:val="20"/>
        </w:rPr>
      </w:pPr>
      <w:r w:rsidRPr="00695E82">
        <w:rPr>
          <w:sz w:val="20"/>
          <w:szCs w:val="20"/>
        </w:rPr>
        <w:t xml:space="preserve">World Health Organization. (2021). </w:t>
      </w:r>
      <w:r w:rsidRPr="00695E82">
        <w:rPr>
          <w:rStyle w:val="Emphasis"/>
          <w:sz w:val="20"/>
          <w:szCs w:val="20"/>
        </w:rPr>
        <w:t>World report on the health of refugees and migrants</w:t>
      </w:r>
      <w:r w:rsidRPr="00695E82">
        <w:rPr>
          <w:sz w:val="20"/>
          <w:szCs w:val="20"/>
        </w:rPr>
        <w:t xml:space="preserve"> (WHO/UCN/PHE/PHM/2021.2). </w:t>
      </w:r>
      <w:hyperlink r:id="rId11" w:history="1">
        <w:r w:rsidRPr="00695E82">
          <w:rPr>
            <w:rStyle w:val="Hyperlink"/>
            <w:color w:val="auto"/>
            <w:sz w:val="20"/>
            <w:szCs w:val="20"/>
            <w:u w:val="none"/>
          </w:rPr>
          <w:t>https://www.who.int/publications/i/item/9789240054462</w:t>
        </w:r>
      </w:hyperlink>
    </w:p>
    <w:sectPr w:rsidR="00695E82" w:rsidRPr="00695E82" w:rsidSect="00272A45">
      <w:headerReference w:type="default" r:id="rId12"/>
      <w:footerReference w:type="default" r:id="rId13"/>
      <w:pgSz w:w="11906" w:h="16838"/>
      <w:pgMar w:top="1843" w:right="1418" w:bottom="1418"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4EF0" w:rsidRDefault="001E4EF0">
      <w:r>
        <w:separator/>
      </w:r>
    </w:p>
  </w:endnote>
  <w:endnote w:type="continuationSeparator" w:id="0">
    <w:p w:rsidR="001E4EF0" w:rsidRDefault="001E4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7FA" w:rsidRPr="00515777" w:rsidRDefault="00ED7FF1" w:rsidP="00EE5C1A">
    <w:pPr>
      <w:pBdr>
        <w:top w:val="single" w:sz="4" w:space="4" w:color="BFD4E6"/>
      </w:pBdr>
      <w:tabs>
        <w:tab w:val="right" w:pos="9026"/>
      </w:tabs>
      <w:rPr>
        <w:rFonts w:asciiTheme="minorHAnsi" w:hAnsiTheme="minorHAnsi" w:cstheme="minorHAnsi"/>
        <w:color w:val="002060"/>
        <w:sz w:val="22"/>
        <w:szCs w:val="22"/>
      </w:rPr>
    </w:pPr>
    <w:r w:rsidRPr="00515777">
      <w:rPr>
        <w:rFonts w:asciiTheme="minorHAnsi" w:hAnsiTheme="minorHAnsi" w:cstheme="minorHAnsi"/>
        <w:iCs/>
        <w:color w:val="002060"/>
        <w:sz w:val="22"/>
        <w:szCs w:val="22"/>
      </w:rPr>
      <w:t>SEEU Review</w:t>
    </w:r>
    <w:r w:rsidR="006B429B" w:rsidRPr="00515777">
      <w:rPr>
        <w:rFonts w:asciiTheme="minorHAnsi" w:hAnsiTheme="minorHAnsi" w:cstheme="minorHAnsi"/>
        <w:iCs/>
        <w:color w:val="002060"/>
        <w:sz w:val="22"/>
        <w:szCs w:val="22"/>
      </w:rPr>
      <w:t>, Vol. X, No. Y</w:t>
    </w:r>
    <w:r w:rsidRPr="00515777">
      <w:rPr>
        <w:rFonts w:asciiTheme="minorHAnsi" w:hAnsiTheme="minorHAnsi" w:cstheme="minorHAnsi"/>
        <w:color w:val="002060"/>
        <w:sz w:val="22"/>
        <w:szCs w:val="22"/>
      </w:rPr>
      <w:tab/>
    </w:r>
    <w:r w:rsidR="006B429B" w:rsidRPr="00515777">
      <w:rPr>
        <w:rFonts w:asciiTheme="minorHAnsi" w:hAnsiTheme="minorHAnsi" w:cstheme="minorHAnsi"/>
        <w:color w:val="002060"/>
        <w:sz w:val="22"/>
        <w:szCs w:val="22"/>
      </w:rPr>
      <w:t>p.</w:t>
    </w:r>
    <w:r w:rsidRPr="00515777">
      <w:rPr>
        <w:rFonts w:asciiTheme="minorHAnsi" w:hAnsiTheme="minorHAnsi" w:cstheme="minorHAnsi"/>
        <w:color w:val="002060"/>
        <w:sz w:val="22"/>
        <w:szCs w:val="22"/>
      </w:rPr>
      <w:t xml:space="preserve"> </w:t>
    </w:r>
    <w:r w:rsidRPr="00515777">
      <w:rPr>
        <w:rFonts w:asciiTheme="minorHAnsi" w:hAnsiTheme="minorHAnsi" w:cstheme="minorHAnsi"/>
        <w:color w:val="002060"/>
        <w:sz w:val="22"/>
        <w:szCs w:val="22"/>
      </w:rPr>
      <w:fldChar w:fldCharType="begin"/>
    </w:r>
    <w:r w:rsidRPr="00515777">
      <w:rPr>
        <w:rFonts w:asciiTheme="minorHAnsi" w:hAnsiTheme="minorHAnsi" w:cstheme="minorHAnsi"/>
        <w:color w:val="002060"/>
        <w:sz w:val="22"/>
        <w:szCs w:val="22"/>
      </w:rPr>
      <w:instrText>NUMPAGES</w:instrText>
    </w:r>
    <w:r w:rsidRPr="00515777">
      <w:rPr>
        <w:rFonts w:asciiTheme="minorHAnsi" w:hAnsiTheme="minorHAnsi" w:cstheme="minorHAnsi"/>
        <w:color w:val="002060"/>
        <w:sz w:val="22"/>
        <w:szCs w:val="22"/>
      </w:rPr>
      <w:fldChar w:fldCharType="separate"/>
    </w:r>
    <w:r w:rsidR="006B429B" w:rsidRPr="00515777">
      <w:rPr>
        <w:rFonts w:asciiTheme="minorHAnsi" w:hAnsiTheme="minorHAnsi" w:cstheme="minorHAnsi"/>
        <w:noProof/>
        <w:color w:val="002060"/>
        <w:sz w:val="22"/>
        <w:szCs w:val="22"/>
      </w:rPr>
      <w:t>1</w:t>
    </w:r>
    <w:r w:rsidRPr="00515777">
      <w:rPr>
        <w:rFonts w:asciiTheme="minorHAnsi" w:hAnsiTheme="minorHAnsi" w:cstheme="minorHAnsi"/>
        <w:color w:val="00206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4EF0" w:rsidRDefault="001E4EF0">
      <w:r>
        <w:separator/>
      </w:r>
    </w:p>
  </w:footnote>
  <w:footnote w:type="continuationSeparator" w:id="0">
    <w:p w:rsidR="001E4EF0" w:rsidRDefault="001E4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7FA" w:rsidRDefault="00ED7FF1">
    <w:pPr>
      <w:pBdr>
        <w:bottom w:val="single" w:sz="6" w:space="4" w:color="1F4E79"/>
      </w:pBdr>
      <w:tabs>
        <w:tab w:val="right" w:pos="9026"/>
      </w:tabs>
    </w:pPr>
    <w:r>
      <w:rPr>
        <w:noProof/>
      </w:rPr>
      <w:drawing>
        <wp:inline distT="0" distB="0" distL="0" distR="0">
          <wp:extent cx="469900" cy="355226"/>
          <wp:effectExtent l="0" t="0" r="635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477405" cy="360899"/>
                  </a:xfrm>
                  <a:prstGeom prst="rect">
                    <a:avLst/>
                  </a:prstGeom>
                </pic:spPr>
              </pic:pic>
            </a:graphicData>
          </a:graphic>
        </wp:inline>
      </w:drawing>
    </w:r>
    <w:r>
      <w:rPr>
        <w:b/>
        <w:bCs/>
        <w:color w:val="1F4E79"/>
        <w:sz w:val="18"/>
        <w:szCs w:val="18"/>
      </w:rPr>
      <w:tab/>
    </w:r>
    <w:r w:rsidRPr="00515777">
      <w:rPr>
        <w:rFonts w:asciiTheme="minorHAnsi" w:hAnsiTheme="minorHAnsi" w:cstheme="minorHAnsi"/>
        <w:b/>
        <w:bCs/>
        <w:color w:val="002060"/>
        <w:sz w:val="28"/>
        <w:szCs w:val="28"/>
      </w:rPr>
      <w:t>SEEU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BD4095"/>
    <w:multiLevelType w:val="hybridMultilevel"/>
    <w:tmpl w:val="A38A8E88"/>
    <w:lvl w:ilvl="0" w:tplc="93964D7E">
      <w:start w:val="1"/>
      <w:numFmt w:val="decimal"/>
      <w:lvlText w:val="%1."/>
      <w:lvlJc w:val="left"/>
      <w:pPr>
        <w:ind w:left="440" w:hanging="260"/>
      </w:pPr>
    </w:lvl>
    <w:lvl w:ilvl="1" w:tplc="74429344">
      <w:numFmt w:val="decimal"/>
      <w:lvlText w:val=""/>
      <w:lvlJc w:val="left"/>
    </w:lvl>
    <w:lvl w:ilvl="2" w:tplc="0BF4CC66">
      <w:numFmt w:val="decimal"/>
      <w:lvlText w:val=""/>
      <w:lvlJc w:val="left"/>
    </w:lvl>
    <w:lvl w:ilvl="3" w:tplc="081EC27C">
      <w:numFmt w:val="decimal"/>
      <w:lvlText w:val=""/>
      <w:lvlJc w:val="left"/>
    </w:lvl>
    <w:lvl w:ilvl="4" w:tplc="A9DC115A">
      <w:numFmt w:val="decimal"/>
      <w:lvlText w:val=""/>
      <w:lvlJc w:val="left"/>
    </w:lvl>
    <w:lvl w:ilvl="5" w:tplc="16AE66AE">
      <w:numFmt w:val="decimal"/>
      <w:lvlText w:val=""/>
      <w:lvlJc w:val="left"/>
    </w:lvl>
    <w:lvl w:ilvl="6" w:tplc="BA46C360">
      <w:numFmt w:val="decimal"/>
      <w:lvlText w:val=""/>
      <w:lvlJc w:val="left"/>
    </w:lvl>
    <w:lvl w:ilvl="7" w:tplc="B11E83A2">
      <w:numFmt w:val="decimal"/>
      <w:lvlText w:val=""/>
      <w:lvlJc w:val="left"/>
    </w:lvl>
    <w:lvl w:ilvl="8" w:tplc="7B563942">
      <w:numFmt w:val="decimal"/>
      <w:lvlText w:val=""/>
      <w:lvlJc w:val="left"/>
    </w:lvl>
  </w:abstractNum>
  <w:abstractNum w:abstractNumId="1" w15:restartNumberingAfterBreak="0">
    <w:nsid w:val="39662A80"/>
    <w:multiLevelType w:val="hybridMultilevel"/>
    <w:tmpl w:val="007C1778"/>
    <w:lvl w:ilvl="0" w:tplc="8E18CB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C01DFD"/>
    <w:multiLevelType w:val="hybridMultilevel"/>
    <w:tmpl w:val="6C067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7B6BC1"/>
    <w:multiLevelType w:val="hybridMultilevel"/>
    <w:tmpl w:val="378A1B4E"/>
    <w:lvl w:ilvl="0" w:tplc="DFE288BC">
      <w:start w:val="1"/>
      <w:numFmt w:val="bullet"/>
      <w:lvlText w:val="●"/>
      <w:lvlJc w:val="left"/>
      <w:pPr>
        <w:ind w:left="720" w:hanging="360"/>
      </w:pPr>
    </w:lvl>
    <w:lvl w:ilvl="1" w:tplc="32100872">
      <w:start w:val="1"/>
      <w:numFmt w:val="bullet"/>
      <w:lvlText w:val="○"/>
      <w:lvlJc w:val="left"/>
      <w:pPr>
        <w:ind w:left="1440" w:hanging="360"/>
      </w:pPr>
    </w:lvl>
    <w:lvl w:ilvl="2" w:tplc="3DD20B8C">
      <w:start w:val="1"/>
      <w:numFmt w:val="bullet"/>
      <w:lvlText w:val="■"/>
      <w:lvlJc w:val="left"/>
      <w:pPr>
        <w:ind w:left="2160" w:hanging="360"/>
      </w:pPr>
    </w:lvl>
    <w:lvl w:ilvl="3" w:tplc="714CF536">
      <w:start w:val="1"/>
      <w:numFmt w:val="bullet"/>
      <w:lvlText w:val="●"/>
      <w:lvlJc w:val="left"/>
      <w:pPr>
        <w:ind w:left="2880" w:hanging="360"/>
      </w:pPr>
    </w:lvl>
    <w:lvl w:ilvl="4" w:tplc="A2F403DC">
      <w:start w:val="1"/>
      <w:numFmt w:val="bullet"/>
      <w:lvlText w:val="○"/>
      <w:lvlJc w:val="left"/>
      <w:pPr>
        <w:ind w:left="3600" w:hanging="360"/>
      </w:pPr>
    </w:lvl>
    <w:lvl w:ilvl="5" w:tplc="5484AD24">
      <w:start w:val="1"/>
      <w:numFmt w:val="bullet"/>
      <w:lvlText w:val="■"/>
      <w:lvlJc w:val="left"/>
      <w:pPr>
        <w:ind w:left="4320" w:hanging="360"/>
      </w:pPr>
    </w:lvl>
    <w:lvl w:ilvl="6" w:tplc="F070B85A">
      <w:start w:val="1"/>
      <w:numFmt w:val="bullet"/>
      <w:lvlText w:val="●"/>
      <w:lvlJc w:val="left"/>
      <w:pPr>
        <w:ind w:left="5040" w:hanging="360"/>
      </w:pPr>
    </w:lvl>
    <w:lvl w:ilvl="7" w:tplc="02B0609A">
      <w:start w:val="1"/>
      <w:numFmt w:val="bullet"/>
      <w:lvlText w:val="●"/>
      <w:lvlJc w:val="left"/>
      <w:pPr>
        <w:ind w:left="5760" w:hanging="360"/>
      </w:pPr>
    </w:lvl>
    <w:lvl w:ilvl="8" w:tplc="5950B376">
      <w:start w:val="1"/>
      <w:numFmt w:val="bullet"/>
      <w:lvlText w:val="●"/>
      <w:lvlJc w:val="left"/>
      <w:pPr>
        <w:ind w:left="6480" w:hanging="360"/>
      </w:pPr>
    </w:lvl>
  </w:abstractNum>
  <w:num w:numId="1">
    <w:abstractNumId w:val="3"/>
    <w:lvlOverride w:ilvl="0">
      <w:startOverride w:val="1"/>
    </w:lvlOverride>
  </w:num>
  <w:num w:numId="2">
    <w:abstractNumId w:val="0"/>
    <w:lvlOverride w:ilvl="0">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7FA"/>
    <w:rsid w:val="000165D0"/>
    <w:rsid w:val="00180759"/>
    <w:rsid w:val="001E4EF0"/>
    <w:rsid w:val="00242B75"/>
    <w:rsid w:val="00272A45"/>
    <w:rsid w:val="0032540D"/>
    <w:rsid w:val="003B5812"/>
    <w:rsid w:val="0044406E"/>
    <w:rsid w:val="00476C8B"/>
    <w:rsid w:val="00493BE7"/>
    <w:rsid w:val="00515777"/>
    <w:rsid w:val="005277C0"/>
    <w:rsid w:val="00695E82"/>
    <w:rsid w:val="006A37FA"/>
    <w:rsid w:val="006B429B"/>
    <w:rsid w:val="007A6EEC"/>
    <w:rsid w:val="007F60C2"/>
    <w:rsid w:val="00930253"/>
    <w:rsid w:val="00971D33"/>
    <w:rsid w:val="0097676F"/>
    <w:rsid w:val="00B07A66"/>
    <w:rsid w:val="00DC6C0C"/>
    <w:rsid w:val="00DE3C63"/>
    <w:rsid w:val="00DF6CA2"/>
    <w:rsid w:val="00ED7FF1"/>
    <w:rsid w:val="00EE5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55A87F-DE7D-4649-8BCD-887209CF7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spacing w:before="320" w:after="140"/>
      <w:outlineLvl w:val="0"/>
    </w:pPr>
    <w:rPr>
      <w:b/>
      <w:bCs/>
      <w:color w:val="1F4E79"/>
      <w:sz w:val="28"/>
      <w:szCs w:val="28"/>
    </w:rPr>
  </w:style>
  <w:style w:type="paragraph" w:styleId="Heading2">
    <w:name w:val="heading 2"/>
    <w:uiPriority w:val="9"/>
    <w:unhideWhenUsed/>
    <w:qFormat/>
    <w:pPr>
      <w:spacing w:before="260" w:after="100"/>
      <w:outlineLvl w:val="1"/>
    </w:pPr>
    <w:rPr>
      <w:b/>
      <w:bCs/>
      <w:i/>
      <w:iCs/>
      <w:color w:val="2E5C8A"/>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Emphasis">
    <w:name w:val="Emphasis"/>
    <w:basedOn w:val="DefaultParagraphFont"/>
    <w:uiPriority w:val="20"/>
    <w:qFormat/>
    <w:rsid w:val="006B429B"/>
    <w:rPr>
      <w:i/>
      <w:iCs/>
    </w:rPr>
  </w:style>
  <w:style w:type="paragraph" w:styleId="Header">
    <w:name w:val="header"/>
    <w:basedOn w:val="Normal"/>
    <w:link w:val="HeaderChar"/>
    <w:uiPriority w:val="99"/>
    <w:unhideWhenUsed/>
    <w:rsid w:val="006B429B"/>
    <w:pPr>
      <w:tabs>
        <w:tab w:val="center" w:pos="4680"/>
        <w:tab w:val="right" w:pos="9360"/>
      </w:tabs>
    </w:pPr>
  </w:style>
  <w:style w:type="character" w:customStyle="1" w:styleId="HeaderChar">
    <w:name w:val="Header Char"/>
    <w:basedOn w:val="DefaultParagraphFont"/>
    <w:link w:val="Header"/>
    <w:uiPriority w:val="99"/>
    <w:rsid w:val="006B429B"/>
  </w:style>
  <w:style w:type="paragraph" w:styleId="Footer">
    <w:name w:val="footer"/>
    <w:basedOn w:val="Normal"/>
    <w:link w:val="FooterChar"/>
    <w:uiPriority w:val="99"/>
    <w:unhideWhenUsed/>
    <w:rsid w:val="006B429B"/>
    <w:pPr>
      <w:tabs>
        <w:tab w:val="center" w:pos="4680"/>
        <w:tab w:val="right" w:pos="9360"/>
      </w:tabs>
    </w:pPr>
  </w:style>
  <w:style w:type="character" w:customStyle="1" w:styleId="FooterChar">
    <w:name w:val="Footer Char"/>
    <w:basedOn w:val="DefaultParagraphFont"/>
    <w:link w:val="Footer"/>
    <w:uiPriority w:val="99"/>
    <w:rsid w:val="006B4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1760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5964/jspp.v6i1.83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o.int/publications/i/item/978924005446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sa-sociology.org/books/books10.htm" TargetMode="External"/><Relationship Id="rId4" Type="http://schemas.openxmlformats.org/officeDocument/2006/relationships/webSettings" Target="webSettings.xml"/><Relationship Id="rId9" Type="http://schemas.openxmlformats.org/officeDocument/2006/relationships/hyperlink" Target="https://www.verywellmind.com/what-is-ethnocentris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Veland Ramadani</dc:creator>
  <cp:lastModifiedBy>Veland Ramadani</cp:lastModifiedBy>
  <cp:revision>2</cp:revision>
  <dcterms:created xsi:type="dcterms:W3CDTF">2026-08-31T13:04:00Z</dcterms:created>
  <dcterms:modified xsi:type="dcterms:W3CDTF">2026-08-31T13:04:00Z</dcterms:modified>
</cp:coreProperties>
</file>