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0C87E" w14:textId="596E177B" w:rsidR="000B07A1" w:rsidRPr="002F0885" w:rsidRDefault="00EE0C14">
      <w:pPr>
        <w:rPr>
          <w:b/>
          <w:bCs/>
          <w:lang w:val="en-US"/>
        </w:rPr>
      </w:pPr>
      <w:r>
        <w:rPr>
          <w:b/>
          <w:bCs/>
          <w:lang w:val="en-US"/>
        </w:rPr>
        <w:t>CONFLICTING &amp; COMPETING INTERESTS</w:t>
      </w:r>
    </w:p>
    <w:p w14:paraId="6497BDFB" w14:textId="77777777" w:rsidR="00591A1D" w:rsidRPr="002F0885" w:rsidRDefault="00591A1D">
      <w:pPr>
        <w:rPr>
          <w:lang w:val="en-US"/>
        </w:rPr>
      </w:pPr>
    </w:p>
    <w:p w14:paraId="61961836" w14:textId="443BCA07" w:rsidR="004E4004" w:rsidRPr="004E4004" w:rsidRDefault="004E4004">
      <w:pPr>
        <w:rPr>
          <w:b/>
          <w:bCs/>
          <w:lang w:val="en-US"/>
        </w:rPr>
      </w:pPr>
      <w:r w:rsidRPr="004E4004">
        <w:rPr>
          <w:b/>
          <w:bCs/>
          <w:lang w:val="en-US"/>
        </w:rPr>
        <w:t>General</w:t>
      </w:r>
    </w:p>
    <w:p w14:paraId="1F3868E1" w14:textId="77777777" w:rsidR="001D5FC6" w:rsidRPr="001D5FC6" w:rsidRDefault="00FB5DED" w:rsidP="001D5FC6">
      <w:pPr>
        <w:rPr>
          <w:lang w:val="en-US"/>
        </w:rPr>
      </w:pPr>
      <w:r>
        <w:rPr>
          <w:lang w:val="en-US"/>
        </w:rPr>
        <w:t xml:space="preserve">The </w:t>
      </w:r>
      <w:r w:rsidR="001213A4">
        <w:rPr>
          <w:lang w:val="en-US"/>
        </w:rPr>
        <w:t xml:space="preserve">aim of </w:t>
      </w:r>
      <w:r w:rsidR="00703168">
        <w:rPr>
          <w:lang w:val="en-US"/>
        </w:rPr>
        <w:t xml:space="preserve">Nordic Concrete Research is </w:t>
      </w:r>
      <w:r w:rsidR="001213A4">
        <w:rPr>
          <w:lang w:val="en-US"/>
        </w:rPr>
        <w:t xml:space="preserve">to provide </w:t>
      </w:r>
      <w:r w:rsidR="00491981" w:rsidRPr="00B5031F">
        <w:rPr>
          <w:lang w:val="en-US"/>
        </w:rPr>
        <w:t xml:space="preserve">transparent and bias-free research. </w:t>
      </w:r>
      <w:r w:rsidR="00491981">
        <w:rPr>
          <w:lang w:val="en-US"/>
        </w:rPr>
        <w:t>The j</w:t>
      </w:r>
      <w:r w:rsidR="00491981" w:rsidRPr="00B5031F">
        <w:rPr>
          <w:lang w:val="en-US"/>
        </w:rPr>
        <w:t>ournal require</w:t>
      </w:r>
      <w:r w:rsidR="00491981">
        <w:rPr>
          <w:lang w:val="en-US"/>
        </w:rPr>
        <w:t>s</w:t>
      </w:r>
      <w:r w:rsidR="00491981" w:rsidRPr="00B5031F">
        <w:rPr>
          <w:lang w:val="en-US"/>
        </w:rPr>
        <w:t xml:space="preserve"> all authors, reviewers, and editors to declare any</w:t>
      </w:r>
      <w:r w:rsidR="001D5FC6">
        <w:rPr>
          <w:lang w:val="en-US"/>
        </w:rPr>
        <w:t xml:space="preserve"> </w:t>
      </w:r>
      <w:r w:rsidR="001D5FC6" w:rsidRPr="001D5FC6">
        <w:rPr>
          <w:lang w:val="en-US"/>
        </w:rPr>
        <w:t xml:space="preserve">interests that could appear to compromise, conflict, or influence the validity of the publication. This process reinforces the readers’ trust in the research data. </w:t>
      </w:r>
    </w:p>
    <w:p w14:paraId="521C371C" w14:textId="7667202D" w:rsidR="001D5FC6" w:rsidRPr="00813B42" w:rsidRDefault="001D5FC6" w:rsidP="001D5FC6">
      <w:pPr>
        <w:rPr>
          <w:lang w:val="en-US"/>
        </w:rPr>
      </w:pPr>
      <w:r w:rsidRPr="001D5FC6">
        <w:rPr>
          <w:lang w:val="en-US"/>
        </w:rPr>
        <w:t xml:space="preserve">Competing interests (COIs) can take the form </w:t>
      </w:r>
      <w:r w:rsidRPr="00813B42">
        <w:rPr>
          <w:lang w:val="en-US"/>
        </w:rPr>
        <w:t>of both financial and non-financial relationships. The declaration of such relationships</w:t>
      </w:r>
      <w:r w:rsidRPr="001D5FC6">
        <w:rPr>
          <w:lang w:val="en-US"/>
        </w:rPr>
        <w:t xml:space="preserve"> helps to ensure that academic rigor is maintained and that publications cannot be accused of undue bias or misinformation. A competing interest must be declared if there is any reason why the information or the interpretation of information being produced may be influenced by a personal or financial relationship with other organizations or individuals or if these relationships could be reasonably perceived by other people as having influenced objective data or </w:t>
      </w:r>
      <w:r w:rsidRPr="00813B42">
        <w:rPr>
          <w:lang w:val="en-US"/>
        </w:rPr>
        <w:t xml:space="preserve">decision-making. </w:t>
      </w:r>
    </w:p>
    <w:p w14:paraId="59BD6476" w14:textId="77777777" w:rsidR="003A4732" w:rsidRPr="00813B42" w:rsidRDefault="001D5FC6" w:rsidP="003A4732">
      <w:pPr>
        <w:rPr>
          <w:lang w:val="en-US"/>
        </w:rPr>
      </w:pPr>
      <w:r w:rsidRPr="00813B42">
        <w:rPr>
          <w:lang w:val="en-US"/>
        </w:rPr>
        <w:t xml:space="preserve">Everyone involved in the submission, editorial processing, peer review, and publication processes </w:t>
      </w:r>
      <w:r w:rsidR="00FB4990" w:rsidRPr="00813B42">
        <w:rPr>
          <w:lang w:val="en-US"/>
        </w:rPr>
        <w:t xml:space="preserve">are requested to </w:t>
      </w:r>
      <w:r w:rsidRPr="00813B42">
        <w:rPr>
          <w:lang w:val="en-US"/>
        </w:rPr>
        <w:t xml:space="preserve">declare any competing interests they may have as early as possible. </w:t>
      </w:r>
      <w:r w:rsidR="003A4732" w:rsidRPr="00813B42">
        <w:rPr>
          <w:lang w:val="en-US"/>
        </w:rPr>
        <w:t>Declaring a competing interest is not inherently negative. Instead, it is a positive step to increase transparency and reduce bias (positive or negative) within the publication process, whether the influence is real or perceived, and whether it is identified before or after publication.</w:t>
      </w:r>
    </w:p>
    <w:p w14:paraId="4F1EE05F" w14:textId="21BC6A61" w:rsidR="001D5FC6" w:rsidRPr="001D5FC6" w:rsidRDefault="001D5FC6" w:rsidP="001D5FC6">
      <w:pPr>
        <w:rPr>
          <w:lang w:val="en-US"/>
        </w:rPr>
      </w:pPr>
      <w:r w:rsidRPr="00813B42">
        <w:rPr>
          <w:lang w:val="en-US"/>
        </w:rPr>
        <w:t xml:space="preserve">If an undisclosed conflict of interest is identified post-publication, the journal </w:t>
      </w:r>
      <w:r w:rsidR="00F763B2" w:rsidRPr="00813B42">
        <w:rPr>
          <w:lang w:val="en-US"/>
        </w:rPr>
        <w:t>will follow the procedure for complaints</w:t>
      </w:r>
      <w:r w:rsidR="00E51050" w:rsidRPr="00813B42">
        <w:rPr>
          <w:lang w:val="en-US"/>
        </w:rPr>
        <w:t xml:space="preserve">, appeals and misconduct as adequate. </w:t>
      </w:r>
      <w:r w:rsidR="00E7538D" w:rsidRPr="00813B42">
        <w:rPr>
          <w:lang w:val="en-US"/>
        </w:rPr>
        <w:t xml:space="preserve">This may also imply </w:t>
      </w:r>
      <w:r w:rsidRPr="00813B42">
        <w:rPr>
          <w:lang w:val="en-US"/>
        </w:rPr>
        <w:t>issuing a correction or, if necessary, a retraction</w:t>
      </w:r>
      <w:r w:rsidR="00E7538D" w:rsidRPr="00813B42">
        <w:rPr>
          <w:lang w:val="en-US"/>
        </w:rPr>
        <w:t>.</w:t>
      </w:r>
    </w:p>
    <w:p w14:paraId="23767AF2" w14:textId="12E234D6" w:rsidR="003A4732" w:rsidRDefault="003A4732" w:rsidP="003A4732">
      <w:pPr>
        <w:rPr>
          <w:lang w:val="en-US"/>
        </w:rPr>
      </w:pPr>
      <w:r>
        <w:rPr>
          <w:lang w:val="en-US"/>
        </w:rPr>
        <w:t xml:space="preserve">Implications for the different roles of publishing </w:t>
      </w:r>
      <w:r w:rsidR="009207F2">
        <w:rPr>
          <w:lang w:val="en-US"/>
        </w:rPr>
        <w:t xml:space="preserve">articles for the journal </w:t>
      </w:r>
      <w:r>
        <w:rPr>
          <w:lang w:val="en-US"/>
        </w:rPr>
        <w:t xml:space="preserve">are listed in instructions for </w:t>
      </w:r>
      <w:r w:rsidRPr="001D5FC6">
        <w:rPr>
          <w:lang w:val="en-US"/>
        </w:rPr>
        <w:t>authors</w:t>
      </w:r>
      <w:r w:rsidR="0032330F">
        <w:rPr>
          <w:lang w:val="en-US"/>
        </w:rPr>
        <w:t xml:space="preserve"> and</w:t>
      </w:r>
      <w:r w:rsidRPr="001D5FC6">
        <w:rPr>
          <w:lang w:val="en-US"/>
        </w:rPr>
        <w:t xml:space="preserve"> reviewers</w:t>
      </w:r>
      <w:r w:rsidR="0032330F">
        <w:rPr>
          <w:lang w:val="en-US"/>
        </w:rPr>
        <w:t xml:space="preserve">. For </w:t>
      </w:r>
      <w:r w:rsidRPr="001D5FC6">
        <w:rPr>
          <w:lang w:val="en-US"/>
        </w:rPr>
        <w:t>editors</w:t>
      </w:r>
      <w:r w:rsidR="0032330F">
        <w:rPr>
          <w:lang w:val="en-US"/>
        </w:rPr>
        <w:t>, see below</w:t>
      </w:r>
      <w:r w:rsidRPr="001D5FC6">
        <w:rPr>
          <w:lang w:val="en-US"/>
        </w:rPr>
        <w:t xml:space="preserve">. </w:t>
      </w:r>
    </w:p>
    <w:p w14:paraId="3C2C7C07" w14:textId="77777777" w:rsidR="00233C00" w:rsidRDefault="00233C00" w:rsidP="00C40627">
      <w:pPr>
        <w:rPr>
          <w:lang w:val="en-US"/>
        </w:rPr>
      </w:pPr>
    </w:p>
    <w:p w14:paraId="4A8F61B9" w14:textId="77777777" w:rsidR="00297675" w:rsidRPr="0032330F" w:rsidRDefault="00297675" w:rsidP="00297675">
      <w:pPr>
        <w:rPr>
          <w:b/>
          <w:bCs/>
          <w:lang w:val="en-US"/>
        </w:rPr>
      </w:pPr>
      <w:r w:rsidRPr="00297675">
        <w:rPr>
          <w:b/>
          <w:bCs/>
          <w:lang w:val="en-US"/>
        </w:rPr>
        <w:t xml:space="preserve">Examples of competing interests </w:t>
      </w:r>
    </w:p>
    <w:p w14:paraId="31C5F5BA" w14:textId="1270AF9F" w:rsidR="00F61C30" w:rsidRPr="00297675" w:rsidRDefault="00F61C30" w:rsidP="00297675">
      <w:pPr>
        <w:rPr>
          <w:b/>
          <w:bCs/>
          <w:lang w:val="en-US"/>
        </w:rPr>
      </w:pPr>
      <w:r>
        <w:rPr>
          <w:lang w:val="en-US"/>
        </w:rPr>
        <w:t>Potential COIs within the scope of Nordic Concrete Research, beyond the general dimensions illustrated, may comprise direct or indirect marketing and selection of testing materials (products).</w:t>
      </w:r>
    </w:p>
    <w:p w14:paraId="79A4E134" w14:textId="77777777" w:rsidR="00297675" w:rsidRPr="00297675" w:rsidRDefault="00297675" w:rsidP="00297675">
      <w:pPr>
        <w:numPr>
          <w:ilvl w:val="0"/>
          <w:numId w:val="6"/>
        </w:numPr>
        <w:ind w:left="851" w:hanging="425"/>
        <w:rPr>
          <w:lang w:val="en-US"/>
        </w:rPr>
      </w:pPr>
      <w:r w:rsidRPr="00297675">
        <w:rPr>
          <w:lang w:val="en-US"/>
        </w:rPr>
        <w:t xml:space="preserve">Financial ties, such as receipt of payment, in any form, from an organization or individual related to the subject matter; ownership of stocks or shares in organizations directly related to the subject matter; receipt of grants or funding; related patents/applied-for patents; commercial interests; or receipt of gifts. </w:t>
      </w:r>
    </w:p>
    <w:p w14:paraId="4560706A" w14:textId="77777777" w:rsidR="00297675" w:rsidRPr="00297675" w:rsidRDefault="00297675" w:rsidP="00297675">
      <w:pPr>
        <w:numPr>
          <w:ilvl w:val="0"/>
          <w:numId w:val="6"/>
        </w:numPr>
        <w:ind w:left="851" w:hanging="425"/>
        <w:rPr>
          <w:lang w:val="en-US"/>
        </w:rPr>
      </w:pPr>
      <w:r w:rsidRPr="00297675">
        <w:rPr>
          <w:lang w:val="en-US"/>
        </w:rPr>
        <w:lastRenderedPageBreak/>
        <w:t xml:space="preserve">Political, religious, or ideological beliefs, including commitments to academic approaches or ideas. </w:t>
      </w:r>
    </w:p>
    <w:p w14:paraId="1FC57B56" w14:textId="77777777" w:rsidR="00297675" w:rsidRPr="00297675" w:rsidRDefault="00297675" w:rsidP="00297675">
      <w:pPr>
        <w:numPr>
          <w:ilvl w:val="0"/>
          <w:numId w:val="6"/>
        </w:numPr>
        <w:ind w:left="851" w:hanging="425"/>
        <w:rPr>
          <w:lang w:val="en-US"/>
        </w:rPr>
      </w:pPr>
      <w:r w:rsidRPr="00297675">
        <w:rPr>
          <w:lang w:val="en-US"/>
        </w:rPr>
        <w:t xml:space="preserve">Personal and professional relationships with family, friends, enemies, competitors, or colleagues. </w:t>
      </w:r>
    </w:p>
    <w:p w14:paraId="76194A23" w14:textId="77777777" w:rsidR="00297675" w:rsidRPr="00297675" w:rsidRDefault="00297675" w:rsidP="00297675">
      <w:pPr>
        <w:numPr>
          <w:ilvl w:val="0"/>
          <w:numId w:val="6"/>
        </w:numPr>
        <w:ind w:left="851" w:hanging="425"/>
        <w:rPr>
          <w:lang w:val="en-US"/>
        </w:rPr>
      </w:pPr>
      <w:r w:rsidRPr="00297675">
        <w:rPr>
          <w:lang w:val="en-US"/>
        </w:rPr>
        <w:t xml:space="preserve">Institutional affiliations and membership of boards, including links to the journal itself, e.g., an author submitting to a journal on which they also work as an editor or serve on the editorial board. </w:t>
      </w:r>
    </w:p>
    <w:p w14:paraId="433E0DE3" w14:textId="77777777" w:rsidR="00297675" w:rsidRPr="00297675" w:rsidRDefault="00297675" w:rsidP="00297675">
      <w:pPr>
        <w:rPr>
          <w:lang w:val="en-US"/>
        </w:rPr>
      </w:pPr>
    </w:p>
    <w:p w14:paraId="3EA789F8" w14:textId="1AF3E784" w:rsidR="00297675" w:rsidRPr="00297675" w:rsidRDefault="000A6029" w:rsidP="00297675">
      <w:pPr>
        <w:rPr>
          <w:lang w:val="en-US"/>
        </w:rPr>
      </w:pPr>
      <w:r w:rsidRPr="00813B42">
        <w:rPr>
          <w:lang w:val="en-US"/>
        </w:rPr>
        <w:t>R</w:t>
      </w:r>
      <w:r w:rsidR="00297675" w:rsidRPr="00813B42">
        <w:rPr>
          <w:lang w:val="en-US"/>
        </w:rPr>
        <w:t xml:space="preserve">eviewers </w:t>
      </w:r>
      <w:r w:rsidRPr="00813B42">
        <w:rPr>
          <w:lang w:val="en-US"/>
        </w:rPr>
        <w:t>must</w:t>
      </w:r>
      <w:r w:rsidR="00297675" w:rsidRPr="00813B42">
        <w:rPr>
          <w:lang w:val="en-US"/>
        </w:rPr>
        <w:t xml:space="preserve"> provide their COI statement prior to </w:t>
      </w:r>
      <w:r w:rsidRPr="00813B42">
        <w:rPr>
          <w:lang w:val="en-US"/>
        </w:rPr>
        <w:t xml:space="preserve">or when </w:t>
      </w:r>
      <w:r w:rsidR="00297675" w:rsidRPr="00813B42">
        <w:rPr>
          <w:lang w:val="en-US"/>
        </w:rPr>
        <w:t>returning their review feedback.</w:t>
      </w:r>
      <w:r w:rsidR="00297675" w:rsidRPr="00297675">
        <w:rPr>
          <w:lang w:val="en-US"/>
        </w:rPr>
        <w:t xml:space="preserve"> </w:t>
      </w:r>
    </w:p>
    <w:p w14:paraId="3F9AD161" w14:textId="21474438" w:rsidR="002849E9" w:rsidRDefault="00297675" w:rsidP="00297675">
      <w:pPr>
        <w:rPr>
          <w:lang w:val="en-US"/>
        </w:rPr>
      </w:pPr>
      <w:r w:rsidRPr="00297675">
        <w:rPr>
          <w:lang w:val="en-US"/>
        </w:rPr>
        <w:t xml:space="preserve">Reviewers should disclose any past relationships or associations that could influence their impartiality. For example, if a reviewer previously supervised the author’s PhD, this prior relationship should be declared. </w:t>
      </w:r>
      <w:r w:rsidRPr="00F63CC5">
        <w:rPr>
          <w:lang w:val="en-US"/>
        </w:rPr>
        <w:t>While specific timeframes for such disclosures</w:t>
      </w:r>
      <w:r w:rsidR="00F63CC5" w:rsidRPr="00F63CC5">
        <w:rPr>
          <w:lang w:val="en-US"/>
        </w:rPr>
        <w:t xml:space="preserve"> may vary, it is advisable to focus on the nature and closeness of the relationship rather than relying solely on a fixed period. To maintain the integrity of the peer review process, reviewers are encouraged to prioritize transparency and declare any past relationships or associations that could be perceived as influencing their judgment, regardless of when they occurred.</w:t>
      </w:r>
    </w:p>
    <w:p w14:paraId="63CC2212" w14:textId="77777777" w:rsidR="00F61C30" w:rsidRDefault="00F61C30" w:rsidP="00297675">
      <w:pPr>
        <w:rPr>
          <w:lang w:val="en-US"/>
        </w:rPr>
      </w:pPr>
    </w:p>
    <w:p w14:paraId="5DF07982" w14:textId="3185C84B" w:rsidR="00986CE7" w:rsidRPr="00986CE7" w:rsidRDefault="004F5CF6" w:rsidP="00986CE7">
      <w:pPr>
        <w:rPr>
          <w:b/>
          <w:bCs/>
          <w:lang w:val="en-US"/>
        </w:rPr>
      </w:pPr>
      <w:r w:rsidRPr="004F5CF6">
        <w:rPr>
          <w:b/>
          <w:bCs/>
          <w:lang w:val="en-US"/>
        </w:rPr>
        <w:t>R</w:t>
      </w:r>
      <w:r w:rsidR="00986CE7" w:rsidRPr="00986CE7">
        <w:rPr>
          <w:b/>
          <w:bCs/>
          <w:lang w:val="en-US"/>
        </w:rPr>
        <w:t xml:space="preserve">eview and publication </w:t>
      </w:r>
    </w:p>
    <w:p w14:paraId="6D7264D0" w14:textId="77777777" w:rsidR="00986CE7" w:rsidRPr="00986CE7" w:rsidRDefault="00986CE7" w:rsidP="00986CE7">
      <w:pPr>
        <w:rPr>
          <w:lang w:val="en-US"/>
        </w:rPr>
      </w:pPr>
      <w:r w:rsidRPr="00986CE7">
        <w:rPr>
          <w:lang w:val="en-US"/>
        </w:rPr>
        <w:t xml:space="preserve">On submission: </w:t>
      </w:r>
    </w:p>
    <w:p w14:paraId="589271AD" w14:textId="6DAF6017" w:rsidR="00986CE7" w:rsidRPr="00986CE7" w:rsidRDefault="004F5CF6" w:rsidP="004F5CF6">
      <w:pPr>
        <w:numPr>
          <w:ilvl w:val="0"/>
          <w:numId w:val="7"/>
        </w:numPr>
        <w:ind w:left="851" w:hanging="425"/>
        <w:rPr>
          <w:lang w:val="en-US"/>
        </w:rPr>
      </w:pPr>
      <w:r>
        <w:rPr>
          <w:lang w:val="en-US"/>
        </w:rPr>
        <w:t>A</w:t>
      </w:r>
      <w:r w:rsidR="00986CE7" w:rsidRPr="00986CE7">
        <w:rPr>
          <w:lang w:val="en-US"/>
        </w:rPr>
        <w:t xml:space="preserve">ll submitted papers </w:t>
      </w:r>
      <w:r w:rsidR="00F44C26">
        <w:rPr>
          <w:lang w:val="en-US"/>
        </w:rPr>
        <w:t xml:space="preserve">are to </w:t>
      </w:r>
      <w:r w:rsidR="00986CE7" w:rsidRPr="00986CE7">
        <w:rPr>
          <w:lang w:val="en-US"/>
        </w:rPr>
        <w:t xml:space="preserve">contain a competing </w:t>
      </w:r>
      <w:proofErr w:type="gramStart"/>
      <w:r w:rsidR="00986CE7" w:rsidRPr="00986CE7">
        <w:rPr>
          <w:lang w:val="en-US"/>
        </w:rPr>
        <w:t>interests</w:t>
      </w:r>
      <w:proofErr w:type="gramEnd"/>
      <w:r w:rsidR="00986CE7" w:rsidRPr="00986CE7">
        <w:rPr>
          <w:lang w:val="en-US"/>
        </w:rPr>
        <w:t xml:space="preserve"> statement (unless the article type is exempt)</w:t>
      </w:r>
      <w:r w:rsidR="00C9379F">
        <w:rPr>
          <w:lang w:val="en-US"/>
        </w:rPr>
        <w:t xml:space="preserve">. This will be </w:t>
      </w:r>
      <w:r w:rsidR="00986CE7" w:rsidRPr="00986CE7">
        <w:rPr>
          <w:lang w:val="en-US"/>
        </w:rPr>
        <w:t>request</w:t>
      </w:r>
      <w:r w:rsidR="00C9379F">
        <w:rPr>
          <w:lang w:val="en-US"/>
        </w:rPr>
        <w:t>ed</w:t>
      </w:r>
      <w:r w:rsidR="00986CE7" w:rsidRPr="00986CE7">
        <w:rPr>
          <w:lang w:val="en-US"/>
        </w:rPr>
        <w:t xml:space="preserve"> </w:t>
      </w:r>
      <w:proofErr w:type="gramStart"/>
      <w:r w:rsidR="00986CE7" w:rsidRPr="00986CE7">
        <w:rPr>
          <w:lang w:val="en-US"/>
        </w:rPr>
        <w:t>from</w:t>
      </w:r>
      <w:proofErr w:type="gramEnd"/>
      <w:r w:rsidR="00986CE7" w:rsidRPr="00986CE7">
        <w:rPr>
          <w:lang w:val="en-US"/>
        </w:rPr>
        <w:t xml:space="preserve"> the author(s) if missing. </w:t>
      </w:r>
    </w:p>
    <w:p w14:paraId="051FEC44" w14:textId="04C83BA7" w:rsidR="00986CE7" w:rsidRPr="00986CE7" w:rsidRDefault="00986CE7" w:rsidP="004F5CF6">
      <w:pPr>
        <w:numPr>
          <w:ilvl w:val="0"/>
          <w:numId w:val="7"/>
        </w:numPr>
        <w:ind w:left="851" w:hanging="425"/>
        <w:rPr>
          <w:lang w:val="en-US"/>
        </w:rPr>
      </w:pPr>
      <w:r w:rsidRPr="00986CE7">
        <w:rPr>
          <w:lang w:val="en-US"/>
        </w:rPr>
        <w:t xml:space="preserve">If there is a disclosed competing interest, </w:t>
      </w:r>
      <w:r w:rsidR="00C9379F">
        <w:rPr>
          <w:lang w:val="en-US"/>
        </w:rPr>
        <w:t xml:space="preserve">it will be </w:t>
      </w:r>
      <w:r w:rsidRPr="00986CE7">
        <w:rPr>
          <w:lang w:val="en-US"/>
        </w:rPr>
        <w:t>consider</w:t>
      </w:r>
      <w:r w:rsidR="00C9379F">
        <w:rPr>
          <w:lang w:val="en-US"/>
        </w:rPr>
        <w:t>ed</w:t>
      </w:r>
      <w:r w:rsidRPr="00986CE7">
        <w:rPr>
          <w:lang w:val="en-US"/>
        </w:rPr>
        <w:t xml:space="preserve"> how this could affect the content of the manuscript (e.g., check for bias). </w:t>
      </w:r>
    </w:p>
    <w:p w14:paraId="05A25E34" w14:textId="77777777" w:rsidR="00986CE7" w:rsidRPr="00986CE7" w:rsidRDefault="00986CE7" w:rsidP="00986CE7">
      <w:r w:rsidRPr="00986CE7">
        <w:t xml:space="preserve">During review: </w:t>
      </w:r>
    </w:p>
    <w:p w14:paraId="4104A08C" w14:textId="22057F0B" w:rsidR="00986CE7" w:rsidRPr="00986CE7" w:rsidRDefault="007E6985" w:rsidP="00C9379F">
      <w:pPr>
        <w:numPr>
          <w:ilvl w:val="0"/>
          <w:numId w:val="8"/>
        </w:numPr>
        <w:ind w:left="851" w:hanging="425"/>
        <w:rPr>
          <w:lang w:val="en-US"/>
        </w:rPr>
      </w:pPr>
      <w:r>
        <w:rPr>
          <w:lang w:val="en-US"/>
        </w:rPr>
        <w:t>P</w:t>
      </w:r>
      <w:r w:rsidR="00986CE7" w:rsidRPr="00986CE7">
        <w:rPr>
          <w:lang w:val="en-US"/>
        </w:rPr>
        <w:t xml:space="preserve">otential competing interests </w:t>
      </w:r>
      <w:r>
        <w:rPr>
          <w:lang w:val="en-US"/>
        </w:rPr>
        <w:t xml:space="preserve">will be considered </w:t>
      </w:r>
      <w:r w:rsidR="00986CE7" w:rsidRPr="00986CE7">
        <w:rPr>
          <w:lang w:val="en-US"/>
        </w:rPr>
        <w:t xml:space="preserve">when inviting reviewers. For example, if a reviewer is from the same institution as the author, that is a competing interest. </w:t>
      </w:r>
    </w:p>
    <w:p w14:paraId="698FE26A" w14:textId="40B075BA" w:rsidR="00986CE7" w:rsidRDefault="00986CE7" w:rsidP="00C9379F">
      <w:pPr>
        <w:numPr>
          <w:ilvl w:val="0"/>
          <w:numId w:val="8"/>
        </w:numPr>
        <w:ind w:left="851" w:hanging="425"/>
        <w:rPr>
          <w:lang w:val="en-US"/>
        </w:rPr>
      </w:pPr>
      <w:r w:rsidRPr="00986CE7">
        <w:rPr>
          <w:lang w:val="en-US"/>
        </w:rPr>
        <w:t xml:space="preserve">If the reviewer discloses a competing interest in </w:t>
      </w:r>
      <w:r w:rsidR="00DA44B2">
        <w:rPr>
          <w:lang w:val="en-US"/>
        </w:rPr>
        <w:t>his/her</w:t>
      </w:r>
      <w:r w:rsidRPr="00986CE7">
        <w:rPr>
          <w:lang w:val="en-US"/>
        </w:rPr>
        <w:t xml:space="preserve"> review, </w:t>
      </w:r>
      <w:r w:rsidR="00DA44B2">
        <w:rPr>
          <w:lang w:val="en-US"/>
        </w:rPr>
        <w:t xml:space="preserve">this will be </w:t>
      </w:r>
      <w:r w:rsidRPr="00986CE7">
        <w:rPr>
          <w:lang w:val="en-US"/>
        </w:rPr>
        <w:t>consider</w:t>
      </w:r>
      <w:r w:rsidR="00DA44B2">
        <w:rPr>
          <w:lang w:val="en-US"/>
        </w:rPr>
        <w:t xml:space="preserve">ed </w:t>
      </w:r>
      <w:r w:rsidRPr="00986CE7">
        <w:rPr>
          <w:lang w:val="en-US"/>
        </w:rPr>
        <w:t xml:space="preserve">during </w:t>
      </w:r>
      <w:r w:rsidR="00DA44B2">
        <w:rPr>
          <w:lang w:val="en-US"/>
        </w:rPr>
        <w:t xml:space="preserve">the </w:t>
      </w:r>
      <w:r w:rsidR="00980579">
        <w:rPr>
          <w:lang w:val="en-US"/>
        </w:rPr>
        <w:t xml:space="preserve">editorial </w:t>
      </w:r>
      <w:r w:rsidRPr="00986CE7">
        <w:rPr>
          <w:lang w:val="en-US"/>
        </w:rPr>
        <w:t xml:space="preserve">evaluation of their review. Depending on the nature of the competing interest, </w:t>
      </w:r>
      <w:r w:rsidR="00980579">
        <w:rPr>
          <w:lang w:val="en-US"/>
        </w:rPr>
        <w:t>one</w:t>
      </w:r>
      <w:r w:rsidRPr="00986CE7">
        <w:rPr>
          <w:lang w:val="en-US"/>
        </w:rPr>
        <w:t xml:space="preserve"> may need to check for bias or find an alternative reviewer. </w:t>
      </w:r>
    </w:p>
    <w:p w14:paraId="752227E2" w14:textId="1D3A7402" w:rsidR="00985800" w:rsidRPr="00985800" w:rsidRDefault="00985800" w:rsidP="00985800">
      <w:pPr>
        <w:numPr>
          <w:ilvl w:val="0"/>
          <w:numId w:val="8"/>
        </w:numPr>
        <w:ind w:left="851" w:hanging="425"/>
        <w:rPr>
          <w:lang w:val="en-US"/>
        </w:rPr>
      </w:pPr>
      <w:r>
        <w:rPr>
          <w:lang w:val="en-US"/>
        </w:rPr>
        <w:lastRenderedPageBreak/>
        <w:t>If</w:t>
      </w:r>
      <w:r w:rsidRPr="00985800">
        <w:rPr>
          <w:lang w:val="en-US"/>
        </w:rPr>
        <w:t xml:space="preserve"> an author has an undisclosed competing interest that becomes apparent during review, </w:t>
      </w:r>
      <w:r w:rsidR="009D6CBE">
        <w:rPr>
          <w:lang w:val="en-US"/>
        </w:rPr>
        <w:t>spec</w:t>
      </w:r>
      <w:r w:rsidR="00740F7B">
        <w:rPr>
          <w:lang w:val="en-US"/>
        </w:rPr>
        <w:t>ific</w:t>
      </w:r>
      <w:r w:rsidR="009D6CBE">
        <w:rPr>
          <w:lang w:val="en-US"/>
        </w:rPr>
        <w:t xml:space="preserve"> </w:t>
      </w:r>
      <w:r w:rsidR="00740F7B">
        <w:rPr>
          <w:lang w:val="en-US"/>
        </w:rPr>
        <w:t>assessment applies</w:t>
      </w:r>
      <w:r w:rsidRPr="00985800">
        <w:rPr>
          <w:lang w:val="en-US"/>
        </w:rPr>
        <w:t xml:space="preserve">. </w:t>
      </w:r>
    </w:p>
    <w:p w14:paraId="3A610449" w14:textId="77777777" w:rsidR="00985800" w:rsidRPr="00985800" w:rsidRDefault="00985800" w:rsidP="00740F7B">
      <w:r w:rsidRPr="00985800">
        <w:t xml:space="preserve">During publication: </w:t>
      </w:r>
    </w:p>
    <w:p w14:paraId="36EE2FAC" w14:textId="40AB2668" w:rsidR="00985800" w:rsidRPr="00985800" w:rsidRDefault="005E435B" w:rsidP="00985800">
      <w:pPr>
        <w:numPr>
          <w:ilvl w:val="0"/>
          <w:numId w:val="8"/>
        </w:numPr>
        <w:ind w:left="851" w:hanging="425"/>
        <w:rPr>
          <w:lang w:val="en-US"/>
        </w:rPr>
      </w:pPr>
      <w:r>
        <w:rPr>
          <w:lang w:val="en-US"/>
        </w:rPr>
        <w:t>A</w:t>
      </w:r>
      <w:r w:rsidR="00985800" w:rsidRPr="00985800">
        <w:rPr>
          <w:lang w:val="en-US"/>
        </w:rPr>
        <w:t xml:space="preserve">ll papers (except where an article type is exempt) </w:t>
      </w:r>
      <w:r>
        <w:rPr>
          <w:lang w:val="en-US"/>
        </w:rPr>
        <w:t xml:space="preserve">shall </w:t>
      </w:r>
      <w:r w:rsidR="00985800" w:rsidRPr="00985800">
        <w:rPr>
          <w:lang w:val="en-US"/>
        </w:rPr>
        <w:t xml:space="preserve">contain an accurate competing interest statement. </w:t>
      </w:r>
    </w:p>
    <w:p w14:paraId="3FA85C8A" w14:textId="77777777" w:rsidR="00985800" w:rsidRPr="00985800" w:rsidRDefault="00985800" w:rsidP="005E435B">
      <w:r w:rsidRPr="00985800">
        <w:t xml:space="preserve">After publication: </w:t>
      </w:r>
    </w:p>
    <w:p w14:paraId="38F2EBA8" w14:textId="545DA3D8" w:rsidR="00985800" w:rsidRPr="00813B42" w:rsidRDefault="00985800" w:rsidP="00985800">
      <w:pPr>
        <w:numPr>
          <w:ilvl w:val="0"/>
          <w:numId w:val="8"/>
        </w:numPr>
        <w:ind w:left="851" w:hanging="425"/>
        <w:rPr>
          <w:lang w:val="en-US"/>
        </w:rPr>
      </w:pPr>
      <w:r w:rsidRPr="00813B42">
        <w:rPr>
          <w:lang w:val="en-US"/>
        </w:rPr>
        <w:t xml:space="preserve">If an undisclosed competing interest becomes apparent after publication, </w:t>
      </w:r>
      <w:r w:rsidR="005E126E" w:rsidRPr="00813B42">
        <w:rPr>
          <w:lang w:val="en-US"/>
        </w:rPr>
        <w:t xml:space="preserve">specific assessment </w:t>
      </w:r>
      <w:r w:rsidR="00813B42" w:rsidRPr="00813B42">
        <w:rPr>
          <w:lang w:val="en-US"/>
        </w:rPr>
        <w:t xml:space="preserve">by the editor and/or the editorial board </w:t>
      </w:r>
      <w:r w:rsidR="005E126E" w:rsidRPr="00813B42">
        <w:rPr>
          <w:lang w:val="en-US"/>
        </w:rPr>
        <w:t>applies</w:t>
      </w:r>
      <w:r w:rsidRPr="00813B42">
        <w:rPr>
          <w:lang w:val="en-US"/>
        </w:rPr>
        <w:t xml:space="preserve">. </w:t>
      </w:r>
    </w:p>
    <w:p w14:paraId="05AAAA62" w14:textId="77777777" w:rsidR="00985800" w:rsidRPr="00986CE7" w:rsidRDefault="00985800" w:rsidP="005E126E">
      <w:pPr>
        <w:rPr>
          <w:lang w:val="en-US"/>
        </w:rPr>
      </w:pPr>
    </w:p>
    <w:p w14:paraId="0070F6F8" w14:textId="06A9018F" w:rsidR="00986CE7" w:rsidRPr="00207F4E" w:rsidRDefault="00986CE7" w:rsidP="00207F4E">
      <w:pPr>
        <w:rPr>
          <w:lang w:val="en-US"/>
        </w:rPr>
      </w:pPr>
    </w:p>
    <w:sectPr w:rsidR="00986CE7" w:rsidRPr="00207F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3DFCF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AFC164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A7CED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0E855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98A13A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D3FA6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4DD9D7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2D13B0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63F76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CF63E3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AC59EC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DA29BD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1422486">
    <w:abstractNumId w:val="3"/>
  </w:num>
  <w:num w:numId="2" w16cid:durableId="803693384">
    <w:abstractNumId w:val="2"/>
  </w:num>
  <w:num w:numId="3" w16cid:durableId="869299510">
    <w:abstractNumId w:val="9"/>
  </w:num>
  <w:num w:numId="4" w16cid:durableId="163739698">
    <w:abstractNumId w:val="1"/>
  </w:num>
  <w:num w:numId="5" w16cid:durableId="392584129">
    <w:abstractNumId w:val="4"/>
  </w:num>
  <w:num w:numId="6" w16cid:durableId="556016508">
    <w:abstractNumId w:val="5"/>
  </w:num>
  <w:num w:numId="7" w16cid:durableId="642007994">
    <w:abstractNumId w:val="8"/>
  </w:num>
  <w:num w:numId="8" w16cid:durableId="1893156557">
    <w:abstractNumId w:val="7"/>
  </w:num>
  <w:num w:numId="9" w16cid:durableId="893351807">
    <w:abstractNumId w:val="11"/>
  </w:num>
  <w:num w:numId="10" w16cid:durableId="577638554">
    <w:abstractNumId w:val="6"/>
  </w:num>
  <w:num w:numId="11" w16cid:durableId="420105989">
    <w:abstractNumId w:val="10"/>
  </w:num>
  <w:num w:numId="12" w16cid:durableId="299383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CDD"/>
    <w:rsid w:val="000363F1"/>
    <w:rsid w:val="00054D8F"/>
    <w:rsid w:val="00072ACE"/>
    <w:rsid w:val="00082DA2"/>
    <w:rsid w:val="000A6029"/>
    <w:rsid w:val="000B07A1"/>
    <w:rsid w:val="000C4C17"/>
    <w:rsid w:val="000D4CDD"/>
    <w:rsid w:val="000E616E"/>
    <w:rsid w:val="001107C8"/>
    <w:rsid w:val="001115A3"/>
    <w:rsid w:val="001213A4"/>
    <w:rsid w:val="00130324"/>
    <w:rsid w:val="001462F9"/>
    <w:rsid w:val="00195F18"/>
    <w:rsid w:val="001A2238"/>
    <w:rsid w:val="001D5FC6"/>
    <w:rsid w:val="001E3DED"/>
    <w:rsid w:val="001F418D"/>
    <w:rsid w:val="001F5461"/>
    <w:rsid w:val="00207F4E"/>
    <w:rsid w:val="00233C00"/>
    <w:rsid w:val="00241756"/>
    <w:rsid w:val="002849E9"/>
    <w:rsid w:val="002965BE"/>
    <w:rsid w:val="00297675"/>
    <w:rsid w:val="002F0885"/>
    <w:rsid w:val="002F6D24"/>
    <w:rsid w:val="0032330F"/>
    <w:rsid w:val="00347E4E"/>
    <w:rsid w:val="00364FD2"/>
    <w:rsid w:val="00381CE8"/>
    <w:rsid w:val="00392106"/>
    <w:rsid w:val="003A4732"/>
    <w:rsid w:val="003B0799"/>
    <w:rsid w:val="003B58D9"/>
    <w:rsid w:val="003E10F3"/>
    <w:rsid w:val="0045744B"/>
    <w:rsid w:val="00491981"/>
    <w:rsid w:val="004B618C"/>
    <w:rsid w:val="004D159E"/>
    <w:rsid w:val="004D70E5"/>
    <w:rsid w:val="004E4004"/>
    <w:rsid w:val="004F3298"/>
    <w:rsid w:val="004F5CF6"/>
    <w:rsid w:val="005040C1"/>
    <w:rsid w:val="00510533"/>
    <w:rsid w:val="00512ECF"/>
    <w:rsid w:val="00563AB7"/>
    <w:rsid w:val="0056637E"/>
    <w:rsid w:val="005704F7"/>
    <w:rsid w:val="00591A1D"/>
    <w:rsid w:val="005925A4"/>
    <w:rsid w:val="005D3B57"/>
    <w:rsid w:val="005E126E"/>
    <w:rsid w:val="005E435B"/>
    <w:rsid w:val="005E437A"/>
    <w:rsid w:val="00604405"/>
    <w:rsid w:val="006253E3"/>
    <w:rsid w:val="006322E8"/>
    <w:rsid w:val="00647C73"/>
    <w:rsid w:val="006B4A76"/>
    <w:rsid w:val="006F26F8"/>
    <w:rsid w:val="00703168"/>
    <w:rsid w:val="00740F7B"/>
    <w:rsid w:val="00743AC9"/>
    <w:rsid w:val="007479B7"/>
    <w:rsid w:val="00764ADD"/>
    <w:rsid w:val="00782CBA"/>
    <w:rsid w:val="00795ABE"/>
    <w:rsid w:val="007C0868"/>
    <w:rsid w:val="007D21CF"/>
    <w:rsid w:val="007E6985"/>
    <w:rsid w:val="007F5DAA"/>
    <w:rsid w:val="008120CC"/>
    <w:rsid w:val="00813B42"/>
    <w:rsid w:val="00814AC5"/>
    <w:rsid w:val="00877083"/>
    <w:rsid w:val="008822FF"/>
    <w:rsid w:val="00894674"/>
    <w:rsid w:val="008B4D1A"/>
    <w:rsid w:val="008C2474"/>
    <w:rsid w:val="00906D73"/>
    <w:rsid w:val="009207F2"/>
    <w:rsid w:val="00980579"/>
    <w:rsid w:val="00980783"/>
    <w:rsid w:val="00985800"/>
    <w:rsid w:val="00986CE7"/>
    <w:rsid w:val="009C23F0"/>
    <w:rsid w:val="009D6CBE"/>
    <w:rsid w:val="00A210BE"/>
    <w:rsid w:val="00A346BC"/>
    <w:rsid w:val="00A7603F"/>
    <w:rsid w:val="00A85E8F"/>
    <w:rsid w:val="00AB7487"/>
    <w:rsid w:val="00AD2B16"/>
    <w:rsid w:val="00AD3C3A"/>
    <w:rsid w:val="00B2678E"/>
    <w:rsid w:val="00B2725B"/>
    <w:rsid w:val="00B27EB2"/>
    <w:rsid w:val="00B369A3"/>
    <w:rsid w:val="00B5031F"/>
    <w:rsid w:val="00B70D25"/>
    <w:rsid w:val="00C40627"/>
    <w:rsid w:val="00C70ED0"/>
    <w:rsid w:val="00C76EF1"/>
    <w:rsid w:val="00C84B4B"/>
    <w:rsid w:val="00C9379F"/>
    <w:rsid w:val="00CD6E06"/>
    <w:rsid w:val="00CE2878"/>
    <w:rsid w:val="00CF462C"/>
    <w:rsid w:val="00D07E18"/>
    <w:rsid w:val="00D200F1"/>
    <w:rsid w:val="00D2351F"/>
    <w:rsid w:val="00D4288D"/>
    <w:rsid w:val="00D87BCE"/>
    <w:rsid w:val="00DA44B2"/>
    <w:rsid w:val="00DB2685"/>
    <w:rsid w:val="00DC2495"/>
    <w:rsid w:val="00DC5C3F"/>
    <w:rsid w:val="00DF0DDD"/>
    <w:rsid w:val="00E075B8"/>
    <w:rsid w:val="00E1580C"/>
    <w:rsid w:val="00E51050"/>
    <w:rsid w:val="00E7538D"/>
    <w:rsid w:val="00EE0C14"/>
    <w:rsid w:val="00EF6D03"/>
    <w:rsid w:val="00F405DF"/>
    <w:rsid w:val="00F418FB"/>
    <w:rsid w:val="00F44C26"/>
    <w:rsid w:val="00F57BD9"/>
    <w:rsid w:val="00F61C30"/>
    <w:rsid w:val="00F63CC5"/>
    <w:rsid w:val="00F650DF"/>
    <w:rsid w:val="00F674A2"/>
    <w:rsid w:val="00F763B2"/>
    <w:rsid w:val="00FB4990"/>
    <w:rsid w:val="00FB5D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47004"/>
  <w15:chartTrackingRefBased/>
  <w15:docId w15:val="{270AC0A9-BE4E-4168-BED3-FB9647952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4C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4C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4C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4C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4C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4C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C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C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4C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C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4C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4C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4C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4C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4C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4C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4C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4CDD"/>
    <w:rPr>
      <w:rFonts w:eastAsiaTheme="majorEastAsia" w:cstheme="majorBidi"/>
      <w:color w:val="272727" w:themeColor="text1" w:themeTint="D8"/>
    </w:rPr>
  </w:style>
  <w:style w:type="paragraph" w:styleId="Title">
    <w:name w:val="Title"/>
    <w:basedOn w:val="Normal"/>
    <w:next w:val="Normal"/>
    <w:link w:val="TitleChar"/>
    <w:uiPriority w:val="10"/>
    <w:qFormat/>
    <w:rsid w:val="000D4C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C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C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C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CDD"/>
    <w:pPr>
      <w:spacing w:before="160"/>
      <w:jc w:val="center"/>
    </w:pPr>
    <w:rPr>
      <w:i/>
      <w:iCs/>
      <w:color w:val="404040" w:themeColor="text1" w:themeTint="BF"/>
    </w:rPr>
  </w:style>
  <w:style w:type="character" w:customStyle="1" w:styleId="QuoteChar">
    <w:name w:val="Quote Char"/>
    <w:basedOn w:val="DefaultParagraphFont"/>
    <w:link w:val="Quote"/>
    <w:uiPriority w:val="29"/>
    <w:rsid w:val="000D4CDD"/>
    <w:rPr>
      <w:i/>
      <w:iCs/>
      <w:color w:val="404040" w:themeColor="text1" w:themeTint="BF"/>
    </w:rPr>
  </w:style>
  <w:style w:type="paragraph" w:styleId="ListParagraph">
    <w:name w:val="List Paragraph"/>
    <w:basedOn w:val="Normal"/>
    <w:uiPriority w:val="34"/>
    <w:qFormat/>
    <w:rsid w:val="000D4CDD"/>
    <w:pPr>
      <w:ind w:left="720"/>
      <w:contextualSpacing/>
    </w:pPr>
  </w:style>
  <w:style w:type="character" w:styleId="IntenseEmphasis">
    <w:name w:val="Intense Emphasis"/>
    <w:basedOn w:val="DefaultParagraphFont"/>
    <w:uiPriority w:val="21"/>
    <w:qFormat/>
    <w:rsid w:val="000D4CDD"/>
    <w:rPr>
      <w:i/>
      <w:iCs/>
      <w:color w:val="0F4761" w:themeColor="accent1" w:themeShade="BF"/>
    </w:rPr>
  </w:style>
  <w:style w:type="paragraph" w:styleId="IntenseQuote">
    <w:name w:val="Intense Quote"/>
    <w:basedOn w:val="Normal"/>
    <w:next w:val="Normal"/>
    <w:link w:val="IntenseQuoteChar"/>
    <w:uiPriority w:val="30"/>
    <w:qFormat/>
    <w:rsid w:val="000D4C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4CDD"/>
    <w:rPr>
      <w:i/>
      <w:iCs/>
      <w:color w:val="0F4761" w:themeColor="accent1" w:themeShade="BF"/>
    </w:rPr>
  </w:style>
  <w:style w:type="character" w:styleId="IntenseReference">
    <w:name w:val="Intense Reference"/>
    <w:basedOn w:val="DefaultParagraphFont"/>
    <w:uiPriority w:val="32"/>
    <w:qFormat/>
    <w:rsid w:val="000D4C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9c428b0-0db1-4300-b2dd-9484759bca92}" enabled="1" method="Standard" siteId="{57952406-af28-43c8-b4de-a4e06f57476d}" removed="0"/>
</clbl:labelList>
</file>

<file path=docProps/app.xml><?xml version="1.0" encoding="utf-8"?>
<Properties xmlns="http://schemas.openxmlformats.org/officeDocument/2006/extended-properties" xmlns:vt="http://schemas.openxmlformats.org/officeDocument/2006/docPropsVTypes">
  <Template>Normal.dotm</Template>
  <TotalTime>66</TotalTime>
  <Pages>3</Pages>
  <Words>751</Words>
  <Characters>3984</Characters>
  <Application>Microsoft Office Word</Application>
  <DocSecurity>0</DocSecurity>
  <Lines>33</Lines>
  <Paragraphs>9</Paragraphs>
  <ScaleCrop>false</ScaleCrop>
  <Company>Heidelberg Materials AG</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Rønning, Terje F. (Brevik) NOR</dc:creator>
  <cp:keywords/>
  <dc:description/>
  <cp:lastModifiedBy>Rønning, Terje F. (Brevik) NOR</cp:lastModifiedBy>
  <cp:revision>53</cp:revision>
  <dcterms:created xsi:type="dcterms:W3CDTF">2026-04-16T10:03:00Z</dcterms:created>
  <dcterms:modified xsi:type="dcterms:W3CDTF">2026-04-29T19:20:00Z</dcterms:modified>
</cp:coreProperties>
</file>